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D47F0" w:rsidRDefault="00DD47F0" w:rsidP="00DD47F0">
      <w:pPr>
        <w:pBdr>
          <w:bottom w:val="single" w:sz="8" w:space="4" w:color="853217" w:themeColor="accent1"/>
        </w:pBdr>
        <w:spacing w:before="100" w:after="200" w:line="264" w:lineRule="auto"/>
        <w:contextualSpacing/>
        <w:outlineLvl w:val="0"/>
        <w:rPr>
          <w:rFonts w:eastAsiaTheme="majorEastAsia" w:cs="Arial"/>
          <w:b/>
          <w:color w:val="853217" w:themeColor="accent1"/>
          <w:kern w:val="28"/>
          <w:sz w:val="22"/>
          <w:szCs w:val="52"/>
          <w:lang w:eastAsia="en-US"/>
        </w:rPr>
      </w:pPr>
    </w:p>
    <w:p w:rsidR="00796A0D" w:rsidRPr="00796A0D" w:rsidRDefault="00796A0D" w:rsidP="00DD47F0">
      <w:pPr>
        <w:pBdr>
          <w:bottom w:val="single" w:sz="8" w:space="4" w:color="853217" w:themeColor="accent1"/>
        </w:pBdr>
        <w:spacing w:before="100" w:after="200" w:line="264" w:lineRule="auto"/>
        <w:contextualSpacing/>
        <w:outlineLvl w:val="0"/>
        <w:rPr>
          <w:rFonts w:eastAsiaTheme="majorEastAsia" w:cs="Arial"/>
          <w:b/>
          <w:color w:val="853217" w:themeColor="accent1"/>
          <w:kern w:val="28"/>
          <w:sz w:val="22"/>
          <w:szCs w:val="52"/>
          <w:lang w:eastAsia="en-US"/>
        </w:rPr>
      </w:pPr>
    </w:p>
    <w:p w:rsidR="007A64BA" w:rsidRPr="00796A0D" w:rsidRDefault="00DD47F0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eastAsiaTheme="majorEastAsia" w:cs="Arial"/>
          <w:b/>
          <w:color w:val="853217" w:themeColor="accent1"/>
          <w:kern w:val="28"/>
          <w:sz w:val="22"/>
          <w:szCs w:val="52"/>
          <w:lang w:eastAsia="en-US"/>
        </w:rPr>
      </w:pPr>
      <w:r w:rsidRPr="00796A0D">
        <w:rPr>
          <w:rFonts w:eastAsiaTheme="majorEastAsia" w:cs="Arial"/>
          <w:b/>
          <w:color w:val="853217" w:themeColor="accent1"/>
          <w:kern w:val="28"/>
          <w:sz w:val="22"/>
          <w:szCs w:val="52"/>
          <w:lang w:eastAsia="en-US"/>
        </w:rPr>
        <w:t>ARR</w:t>
      </w:r>
      <w:r w:rsidR="00796A0D" w:rsidRPr="00796A0D">
        <w:rPr>
          <w:rFonts w:eastAsiaTheme="majorEastAsia" w:cs="Arial"/>
          <w:b/>
          <w:color w:val="853217" w:themeColor="accent1"/>
          <w:kern w:val="28"/>
          <w:sz w:val="22"/>
          <w:szCs w:val="52"/>
          <w:lang w:eastAsia="en-US"/>
        </w:rPr>
        <w:t>Ê</w:t>
      </w:r>
      <w:r w:rsidRPr="00796A0D">
        <w:rPr>
          <w:rFonts w:eastAsiaTheme="majorEastAsia" w:cs="Arial"/>
          <w:b/>
          <w:color w:val="853217" w:themeColor="accent1"/>
          <w:kern w:val="28"/>
          <w:sz w:val="22"/>
          <w:szCs w:val="52"/>
          <w:lang w:eastAsia="en-US"/>
        </w:rPr>
        <w:t>T</w:t>
      </w:r>
      <w:r w:rsidR="00796A0D" w:rsidRPr="00796A0D">
        <w:rPr>
          <w:rFonts w:eastAsiaTheme="majorEastAsia" w:cs="Arial"/>
          <w:b/>
          <w:color w:val="853217" w:themeColor="accent1"/>
          <w:kern w:val="28"/>
          <w:sz w:val="22"/>
          <w:szCs w:val="52"/>
          <w:lang w:eastAsia="en-US"/>
        </w:rPr>
        <w:t xml:space="preserve">E </w:t>
      </w:r>
      <w:r w:rsidR="00C92C89" w:rsidRPr="00796A0D">
        <w:rPr>
          <w:rFonts w:eastAsiaTheme="majorEastAsia" w:cs="Arial"/>
          <w:b/>
          <w:color w:val="853217" w:themeColor="accent1"/>
          <w:kern w:val="28"/>
          <w:sz w:val="22"/>
          <w:szCs w:val="52"/>
          <w:lang w:eastAsia="en-US"/>
        </w:rPr>
        <w:t xml:space="preserve">de placement ou de maintien en congé de maladie ordinaire </w:t>
      </w:r>
      <w:r w:rsidR="002D142E" w:rsidRPr="00796A0D">
        <w:rPr>
          <w:rFonts w:eastAsiaTheme="majorEastAsia" w:cs="Arial"/>
          <w:b/>
          <w:color w:val="853217" w:themeColor="accent1"/>
          <w:kern w:val="28"/>
          <w:sz w:val="22"/>
          <w:szCs w:val="52"/>
          <w:lang w:eastAsia="en-US"/>
        </w:rPr>
        <w:t xml:space="preserve"> </w:t>
      </w:r>
    </w:p>
    <w:p w:rsidR="00796A0D" w:rsidRPr="0037229C" w:rsidRDefault="00796A0D" w:rsidP="00796A0D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eastAsiaTheme="majorEastAsia" w:cs="Arial"/>
          <w:bCs/>
          <w:i/>
          <w:iCs/>
          <w:color w:val="853217" w:themeColor="accent1"/>
          <w:kern w:val="28"/>
          <w:sz w:val="22"/>
          <w:szCs w:val="52"/>
          <w:lang w:eastAsia="en-US"/>
        </w:rPr>
      </w:pPr>
      <w:r w:rsidRPr="0037229C">
        <w:rPr>
          <w:rFonts w:eastAsiaTheme="majorEastAsia" w:cs="Arial"/>
          <w:bCs/>
          <w:i/>
          <w:iCs/>
          <w:color w:val="853217" w:themeColor="accent1"/>
          <w:kern w:val="28"/>
          <w:sz w:val="22"/>
          <w:szCs w:val="52"/>
          <w:highlight w:val="yellow"/>
          <w:lang w:eastAsia="en-US"/>
        </w:rPr>
        <w:t>Madame (ou Monsieur) …</w:t>
      </w:r>
      <w:r w:rsidRPr="0037229C">
        <w:rPr>
          <w:rFonts w:eastAsiaTheme="majorEastAsia" w:cs="Arial"/>
          <w:bCs/>
          <w:i/>
          <w:iCs/>
          <w:color w:val="853217" w:themeColor="accent1"/>
          <w:kern w:val="28"/>
          <w:sz w:val="22"/>
          <w:szCs w:val="52"/>
          <w:lang w:eastAsia="en-US"/>
        </w:rPr>
        <w:t xml:space="preserve"> </w:t>
      </w:r>
    </w:p>
    <w:p w:rsidR="00796A0D" w:rsidRDefault="00796A0D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eastAsiaTheme="majorEastAsia" w:cs="Arial"/>
          <w:bCs/>
          <w:i/>
          <w:iCs/>
          <w:color w:val="853217" w:themeColor="accent1"/>
          <w:kern w:val="28"/>
          <w:sz w:val="22"/>
          <w:szCs w:val="52"/>
          <w:highlight w:val="yellow"/>
          <w:lang w:eastAsia="en-US"/>
        </w:rPr>
      </w:pPr>
    </w:p>
    <w:p w:rsidR="00D219D8" w:rsidRPr="00796A0D" w:rsidRDefault="00796A0D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eastAsiaTheme="majorEastAsia" w:cs="Arial"/>
          <w:bCs/>
          <w:i/>
          <w:iCs/>
          <w:color w:val="853217" w:themeColor="accent1"/>
          <w:kern w:val="28"/>
          <w:sz w:val="22"/>
          <w:szCs w:val="52"/>
          <w:lang w:eastAsia="en-US"/>
        </w:rPr>
      </w:pPr>
      <w:r>
        <w:rPr>
          <w:rFonts w:eastAsiaTheme="majorEastAsia" w:cs="Arial"/>
          <w:bCs/>
          <w:i/>
          <w:iCs/>
          <w:color w:val="853217" w:themeColor="accent1"/>
          <w:kern w:val="28"/>
          <w:sz w:val="22"/>
          <w:szCs w:val="52"/>
          <w:highlight w:val="yellow"/>
          <w:lang w:eastAsia="en-US"/>
        </w:rPr>
        <w:t>Modèle pour les fonctionnaires (s</w:t>
      </w:r>
      <w:r w:rsidR="007A64BA" w:rsidRPr="00796A0D">
        <w:rPr>
          <w:rFonts w:eastAsiaTheme="majorEastAsia" w:cs="Arial"/>
          <w:bCs/>
          <w:i/>
          <w:iCs/>
          <w:color w:val="853217" w:themeColor="accent1"/>
          <w:kern w:val="28"/>
          <w:sz w:val="22"/>
          <w:szCs w:val="52"/>
          <w:highlight w:val="yellow"/>
          <w:lang w:eastAsia="en-US"/>
        </w:rPr>
        <w:t>tagiaires / titulaires</w:t>
      </w:r>
      <w:r>
        <w:rPr>
          <w:rFonts w:eastAsiaTheme="majorEastAsia" w:cs="Arial"/>
          <w:bCs/>
          <w:i/>
          <w:iCs/>
          <w:color w:val="853217" w:themeColor="accent1"/>
          <w:kern w:val="28"/>
          <w:sz w:val="22"/>
          <w:szCs w:val="52"/>
          <w:highlight w:val="yellow"/>
          <w:lang w:eastAsia="en-US"/>
        </w:rPr>
        <w:t xml:space="preserve">) </w:t>
      </w:r>
      <w:r w:rsidR="007A64BA" w:rsidRPr="00796A0D">
        <w:rPr>
          <w:rFonts w:eastAsiaTheme="majorEastAsia" w:cs="Arial"/>
          <w:bCs/>
          <w:i/>
          <w:iCs/>
          <w:color w:val="853217" w:themeColor="accent1"/>
          <w:kern w:val="28"/>
          <w:sz w:val="22"/>
          <w:szCs w:val="52"/>
          <w:highlight w:val="yellow"/>
          <w:lang w:eastAsia="en-US"/>
        </w:rPr>
        <w:t>CNRACL &gt; ou = à 28heures</w:t>
      </w:r>
      <w:r>
        <w:rPr>
          <w:rFonts w:eastAsiaTheme="majorEastAsia" w:cs="Arial"/>
          <w:bCs/>
          <w:i/>
          <w:iCs/>
          <w:color w:val="853217" w:themeColor="accent1"/>
          <w:kern w:val="28"/>
          <w:sz w:val="22"/>
          <w:szCs w:val="52"/>
          <w:lang w:eastAsia="en-US"/>
        </w:rPr>
        <w:t xml:space="preserve"> </w:t>
      </w:r>
    </w:p>
    <w:p w:rsidR="00D219D8" w:rsidRPr="00796A0D" w:rsidRDefault="00D219D8" w:rsidP="00D219D8">
      <w:pPr>
        <w:jc w:val="both"/>
        <w:rPr>
          <w:rFonts w:cs="Arial"/>
          <w:sz w:val="20"/>
        </w:rPr>
      </w:pPr>
    </w:p>
    <w:p w:rsidR="00796A0D" w:rsidRPr="0037229C" w:rsidRDefault="00796A0D" w:rsidP="00796A0D">
      <w:pPr>
        <w:jc w:val="center"/>
        <w:rPr>
          <w:rFonts w:cs="Arial"/>
          <w:sz w:val="20"/>
        </w:rPr>
      </w:pPr>
      <w:bookmarkStart w:id="0" w:name="_Hlk192170270"/>
      <w:r w:rsidRPr="0037229C">
        <w:rPr>
          <w:rFonts w:cs="Arial"/>
          <w:sz w:val="20"/>
          <w:highlight w:val="yellow"/>
        </w:rPr>
        <w:t>Les mentions surlignées en jaune sont à compléter, les encadrés ainsi que les mentions en rouge sont donnés à titre d’information et sont à supprimer.</w:t>
      </w:r>
    </w:p>
    <w:bookmarkEnd w:id="0"/>
    <w:p w:rsidR="00D219D8" w:rsidRPr="00796A0D" w:rsidRDefault="00D219D8" w:rsidP="00D219D8">
      <w:pPr>
        <w:jc w:val="both"/>
        <w:rPr>
          <w:rFonts w:cs="Arial"/>
          <w:sz w:val="20"/>
        </w:rPr>
      </w:pPr>
    </w:p>
    <w:p w:rsidR="00394DC9" w:rsidRPr="00796A0D" w:rsidRDefault="00394DC9" w:rsidP="00D219D8">
      <w:pPr>
        <w:jc w:val="both"/>
        <w:rPr>
          <w:rFonts w:cs="Arial"/>
          <w:sz w:val="20"/>
        </w:rPr>
      </w:pPr>
    </w:p>
    <w:p w:rsidR="00394DC9" w:rsidRPr="00796A0D" w:rsidRDefault="00394DC9" w:rsidP="00D219D8">
      <w:pPr>
        <w:jc w:val="both"/>
        <w:rPr>
          <w:rFonts w:cs="Arial"/>
          <w:sz w:val="20"/>
        </w:rPr>
      </w:pPr>
    </w:p>
    <w:p w:rsidR="002D142E" w:rsidRPr="00796A0D" w:rsidRDefault="002D142E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796A0D">
        <w:rPr>
          <w:rFonts w:cs="Arial"/>
          <w:sz w:val="20"/>
          <w:szCs w:val="20"/>
        </w:rPr>
        <w:t xml:space="preserve">Le </w:t>
      </w:r>
      <w:r w:rsidRPr="00796A0D">
        <w:rPr>
          <w:rFonts w:cs="Arial"/>
          <w:sz w:val="20"/>
          <w:szCs w:val="20"/>
          <w:highlight w:val="yellow"/>
        </w:rPr>
        <w:t xml:space="preserve">Maire </w:t>
      </w:r>
      <w:r w:rsidR="00796A0D" w:rsidRPr="00796A0D">
        <w:rPr>
          <w:rFonts w:cs="Arial"/>
          <w:sz w:val="20"/>
          <w:szCs w:val="20"/>
          <w:highlight w:val="yellow"/>
        </w:rPr>
        <w:t xml:space="preserve">/ </w:t>
      </w:r>
      <w:r w:rsidRPr="00796A0D">
        <w:rPr>
          <w:rFonts w:cs="Arial"/>
          <w:sz w:val="20"/>
          <w:szCs w:val="20"/>
          <w:highlight w:val="yellow"/>
        </w:rPr>
        <w:t>le Président</w:t>
      </w:r>
      <w:r w:rsidRPr="00796A0D">
        <w:rPr>
          <w:rFonts w:cs="Arial"/>
          <w:sz w:val="20"/>
          <w:szCs w:val="20"/>
        </w:rPr>
        <w:t xml:space="preserve"> de </w:t>
      </w:r>
      <w:r w:rsidRPr="00796A0D">
        <w:rPr>
          <w:rFonts w:cs="Arial"/>
          <w:sz w:val="20"/>
          <w:szCs w:val="20"/>
          <w:highlight w:val="yellow"/>
        </w:rPr>
        <w:t>...</w:t>
      </w:r>
    </w:p>
    <w:p w:rsidR="002D142E" w:rsidRPr="00796A0D" w:rsidRDefault="002D142E" w:rsidP="002D142E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</w:p>
    <w:p w:rsidR="00447DDB" w:rsidRPr="00796A0D" w:rsidRDefault="00447DDB" w:rsidP="002D142E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  <w:r w:rsidRPr="00796A0D">
        <w:rPr>
          <w:rFonts w:cs="Arial"/>
          <w:sz w:val="20"/>
          <w:szCs w:val="20"/>
        </w:rPr>
        <w:t xml:space="preserve">Vu le code général des collectivités territoriales ; </w:t>
      </w:r>
    </w:p>
    <w:p w:rsidR="0064023A" w:rsidRPr="00796A0D" w:rsidRDefault="0064023A" w:rsidP="002D142E">
      <w:pPr>
        <w:widowControl w:val="0"/>
        <w:autoSpaceDE w:val="0"/>
        <w:autoSpaceDN w:val="0"/>
        <w:adjustRightInd w:val="0"/>
        <w:rPr>
          <w:rFonts w:cs="Arial"/>
          <w:color w:val="FF0000"/>
          <w:sz w:val="20"/>
          <w:szCs w:val="20"/>
        </w:rPr>
      </w:pPr>
    </w:p>
    <w:p w:rsidR="0064023A" w:rsidRPr="00796A0D" w:rsidRDefault="0064023A" w:rsidP="002D142E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  <w:r w:rsidRPr="00796A0D">
        <w:rPr>
          <w:rFonts w:cs="Arial"/>
          <w:sz w:val="20"/>
          <w:szCs w:val="20"/>
        </w:rPr>
        <w:t>Vu la loi n°2017-1837 du 30 déc. 2017 de finances pour 2018 et notamment l’article 115 ;</w:t>
      </w:r>
    </w:p>
    <w:p w:rsidR="00447DDB" w:rsidRPr="00796A0D" w:rsidRDefault="00447DDB" w:rsidP="002D142E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</w:p>
    <w:p w:rsidR="002D142E" w:rsidRPr="00796A0D" w:rsidRDefault="002D142E" w:rsidP="002D142E">
      <w:pPr>
        <w:jc w:val="both"/>
        <w:rPr>
          <w:rFonts w:cs="Arial"/>
          <w:sz w:val="20"/>
          <w:szCs w:val="20"/>
        </w:rPr>
      </w:pPr>
      <w:r w:rsidRPr="00796A0D">
        <w:rPr>
          <w:rFonts w:cs="Arial"/>
          <w:bCs/>
          <w:sz w:val="20"/>
          <w:szCs w:val="20"/>
        </w:rPr>
        <w:t xml:space="preserve">Vu le code </w:t>
      </w:r>
      <w:r w:rsidR="0009554A" w:rsidRPr="00796A0D">
        <w:rPr>
          <w:rFonts w:cs="Arial"/>
          <w:bCs/>
          <w:sz w:val="20"/>
          <w:szCs w:val="20"/>
        </w:rPr>
        <w:t xml:space="preserve">général </w:t>
      </w:r>
      <w:r w:rsidRPr="00796A0D">
        <w:rPr>
          <w:rFonts w:cs="Arial"/>
          <w:bCs/>
          <w:sz w:val="20"/>
          <w:szCs w:val="20"/>
        </w:rPr>
        <w:t>de la fonction publique</w:t>
      </w:r>
      <w:r w:rsidR="00C92C89" w:rsidRPr="00796A0D">
        <w:rPr>
          <w:rFonts w:cs="Arial"/>
          <w:bCs/>
          <w:sz w:val="20"/>
          <w:szCs w:val="20"/>
        </w:rPr>
        <w:t xml:space="preserve"> et notamment les articles L</w:t>
      </w:r>
      <w:r w:rsidR="00447DDB" w:rsidRPr="00796A0D">
        <w:rPr>
          <w:rFonts w:cs="Arial"/>
          <w:bCs/>
          <w:sz w:val="20"/>
          <w:szCs w:val="20"/>
        </w:rPr>
        <w:t>.</w:t>
      </w:r>
      <w:r w:rsidR="00C92C89" w:rsidRPr="00796A0D">
        <w:rPr>
          <w:rFonts w:cs="Arial"/>
          <w:bCs/>
          <w:sz w:val="20"/>
          <w:szCs w:val="20"/>
        </w:rPr>
        <w:t>822-1 et suivants</w:t>
      </w:r>
      <w:r w:rsidR="00447DDB" w:rsidRPr="00796A0D">
        <w:rPr>
          <w:rFonts w:cs="Arial"/>
          <w:bCs/>
          <w:sz w:val="20"/>
          <w:szCs w:val="20"/>
        </w:rPr>
        <w:t> ;</w:t>
      </w:r>
    </w:p>
    <w:p w:rsidR="002D142E" w:rsidRPr="00796A0D" w:rsidRDefault="002D142E" w:rsidP="002D142E">
      <w:pPr>
        <w:jc w:val="both"/>
        <w:rPr>
          <w:rFonts w:cs="Arial"/>
          <w:sz w:val="20"/>
          <w:szCs w:val="20"/>
        </w:rPr>
      </w:pPr>
    </w:p>
    <w:p w:rsidR="00362A55" w:rsidRPr="00796A0D" w:rsidRDefault="00372951" w:rsidP="00362A55">
      <w:pPr>
        <w:jc w:val="both"/>
        <w:rPr>
          <w:rFonts w:cs="Arial"/>
          <w:sz w:val="20"/>
          <w:szCs w:val="20"/>
        </w:rPr>
      </w:pPr>
      <w:r w:rsidRPr="00796A0D">
        <w:rPr>
          <w:rFonts w:cs="Arial"/>
          <w:sz w:val="20"/>
          <w:szCs w:val="20"/>
        </w:rPr>
        <w:t>Vu le décret n°87-602 du 30 juillet 1987 relatif à l’organisation des conseils médicaux, aux conditions d’aptitude physique et au régime des congés de maladie des fonctionnaires territoriaux ;</w:t>
      </w:r>
    </w:p>
    <w:p w:rsidR="00372951" w:rsidRPr="00796A0D" w:rsidRDefault="00372951" w:rsidP="00362A55">
      <w:pPr>
        <w:jc w:val="both"/>
        <w:rPr>
          <w:rFonts w:cs="Arial"/>
          <w:i/>
          <w:color w:val="54616C"/>
          <w:sz w:val="20"/>
          <w:szCs w:val="20"/>
        </w:rPr>
      </w:pPr>
    </w:p>
    <w:p w:rsidR="00362A55" w:rsidRPr="00796A0D" w:rsidRDefault="00362A55" w:rsidP="00796A0D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796A0D">
        <w:rPr>
          <w:rFonts w:cs="Arial"/>
          <w:i/>
          <w:iCs/>
          <w:color w:val="FF0000"/>
          <w:sz w:val="20"/>
          <w:szCs w:val="20"/>
        </w:rPr>
        <w:t>(</w:t>
      </w:r>
      <w:proofErr w:type="gramStart"/>
      <w:r w:rsidRPr="00796A0D">
        <w:rPr>
          <w:rFonts w:cs="Arial"/>
          <w:i/>
          <w:iCs/>
          <w:color w:val="FF0000"/>
          <w:sz w:val="20"/>
          <w:szCs w:val="20"/>
        </w:rPr>
        <w:t>si</w:t>
      </w:r>
      <w:proofErr w:type="gramEnd"/>
      <w:r w:rsidRPr="00796A0D">
        <w:rPr>
          <w:rFonts w:cs="Arial"/>
          <w:i/>
          <w:iCs/>
          <w:color w:val="FF0000"/>
          <w:sz w:val="20"/>
          <w:szCs w:val="20"/>
        </w:rPr>
        <w:t xml:space="preserve"> temps non complet + 28 heures</w:t>
      </w:r>
      <w:r w:rsidR="00796A0D">
        <w:rPr>
          <w:rFonts w:cs="Arial"/>
          <w:i/>
          <w:iCs/>
          <w:color w:val="FF0000"/>
          <w:sz w:val="20"/>
          <w:szCs w:val="20"/>
        </w:rPr>
        <w:t xml:space="preserve">) </w:t>
      </w:r>
      <w:r w:rsidRPr="00796A0D">
        <w:rPr>
          <w:rFonts w:cs="Arial"/>
          <w:sz w:val="20"/>
          <w:szCs w:val="20"/>
          <w:highlight w:val="yellow"/>
        </w:rPr>
        <w:t>Vu le décret n°91-298 du 20 Mars 1991 portant dispositions statutaires applicables aux fonctionnaires nommés dans des emplois permanents à temps non complet</w:t>
      </w:r>
      <w:r w:rsidR="00796A0D">
        <w:rPr>
          <w:rFonts w:cs="Arial"/>
          <w:sz w:val="20"/>
          <w:szCs w:val="20"/>
        </w:rPr>
        <w:t xml:space="preserve"> </w:t>
      </w:r>
      <w:r w:rsidR="00447DDB" w:rsidRPr="00796A0D">
        <w:rPr>
          <w:rFonts w:cs="Arial"/>
          <w:sz w:val="20"/>
          <w:szCs w:val="20"/>
        </w:rPr>
        <w:t>;</w:t>
      </w:r>
    </w:p>
    <w:p w:rsidR="00362A55" w:rsidRPr="00796A0D" w:rsidRDefault="00362A55" w:rsidP="00362A55">
      <w:pPr>
        <w:jc w:val="both"/>
        <w:rPr>
          <w:rFonts w:cs="Arial"/>
          <w:i/>
          <w:color w:val="853217" w:themeColor="accent1"/>
          <w:sz w:val="20"/>
          <w:szCs w:val="20"/>
        </w:rPr>
      </w:pPr>
    </w:p>
    <w:p w:rsidR="002D142E" w:rsidRPr="00796A0D" w:rsidRDefault="00362A55" w:rsidP="00362A55">
      <w:pPr>
        <w:jc w:val="both"/>
        <w:rPr>
          <w:rFonts w:cs="Arial"/>
          <w:sz w:val="20"/>
          <w:szCs w:val="20"/>
          <w:highlight w:val="yellow"/>
        </w:rPr>
      </w:pPr>
      <w:r w:rsidRPr="00796A0D">
        <w:rPr>
          <w:rFonts w:cs="Arial"/>
          <w:i/>
          <w:color w:val="FF0000"/>
          <w:sz w:val="20"/>
          <w:szCs w:val="20"/>
        </w:rPr>
        <w:t>(</w:t>
      </w:r>
      <w:proofErr w:type="gramStart"/>
      <w:r w:rsidR="00796A0D">
        <w:rPr>
          <w:rFonts w:cs="Arial"/>
          <w:i/>
          <w:color w:val="FF0000"/>
          <w:sz w:val="20"/>
          <w:szCs w:val="20"/>
        </w:rPr>
        <w:t>s</w:t>
      </w:r>
      <w:r w:rsidRPr="00796A0D">
        <w:rPr>
          <w:rFonts w:cs="Arial"/>
          <w:i/>
          <w:color w:val="FF0000"/>
          <w:sz w:val="20"/>
          <w:szCs w:val="20"/>
        </w:rPr>
        <w:t>i</w:t>
      </w:r>
      <w:proofErr w:type="gramEnd"/>
      <w:r w:rsidRPr="00796A0D">
        <w:rPr>
          <w:rFonts w:cs="Arial"/>
          <w:i/>
          <w:color w:val="FF0000"/>
          <w:sz w:val="20"/>
          <w:szCs w:val="20"/>
        </w:rPr>
        <w:t xml:space="preserve"> agent stagiaire</w:t>
      </w:r>
      <w:r w:rsidR="00796A0D">
        <w:rPr>
          <w:rFonts w:cs="Arial"/>
          <w:i/>
          <w:color w:val="FF0000"/>
          <w:sz w:val="20"/>
          <w:szCs w:val="20"/>
        </w:rPr>
        <w:t xml:space="preserve">) </w:t>
      </w:r>
      <w:r w:rsidRPr="00796A0D">
        <w:rPr>
          <w:rFonts w:cs="Arial"/>
          <w:sz w:val="20"/>
          <w:szCs w:val="20"/>
          <w:highlight w:val="yellow"/>
        </w:rPr>
        <w:t>Vu le décret n°92-1194 du 4 Novembre 1992 fixant les dispositions communes applicables aux fonctionnaires stagiaires de la Fonction Publique Territoriale</w:t>
      </w:r>
      <w:r w:rsidR="00447DDB" w:rsidRPr="00796A0D">
        <w:rPr>
          <w:rFonts w:cs="Arial"/>
          <w:sz w:val="20"/>
          <w:szCs w:val="20"/>
          <w:highlight w:val="yellow"/>
        </w:rPr>
        <w:t> ;</w:t>
      </w:r>
    </w:p>
    <w:p w:rsidR="00A24CCD" w:rsidRPr="00796A0D" w:rsidRDefault="00A24CCD" w:rsidP="00372951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:rsidR="00A24CCD" w:rsidRPr="00796A0D" w:rsidRDefault="00A24CCD" w:rsidP="00372951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796A0D">
        <w:rPr>
          <w:rFonts w:cs="Arial"/>
          <w:sz w:val="20"/>
          <w:szCs w:val="20"/>
        </w:rPr>
        <w:t xml:space="preserve">Vu le certificat médical en date du </w:t>
      </w:r>
      <w:r w:rsidR="00447DDB" w:rsidRPr="00796A0D">
        <w:rPr>
          <w:rFonts w:cs="Arial"/>
          <w:sz w:val="20"/>
          <w:szCs w:val="20"/>
          <w:highlight w:val="yellow"/>
        </w:rPr>
        <w:t>...</w:t>
      </w:r>
      <w:r w:rsidR="00447DDB" w:rsidRPr="00796A0D">
        <w:rPr>
          <w:rFonts w:cs="Arial"/>
          <w:sz w:val="20"/>
          <w:szCs w:val="20"/>
        </w:rPr>
        <w:t xml:space="preserve">, </w:t>
      </w:r>
      <w:r w:rsidRPr="00796A0D">
        <w:rPr>
          <w:rFonts w:cs="Arial"/>
          <w:sz w:val="20"/>
          <w:szCs w:val="20"/>
        </w:rPr>
        <w:t xml:space="preserve">délivré à </w:t>
      </w:r>
      <w:r w:rsidRPr="00796A0D">
        <w:rPr>
          <w:rFonts w:cs="Arial"/>
          <w:sz w:val="20"/>
          <w:szCs w:val="20"/>
          <w:highlight w:val="yellow"/>
        </w:rPr>
        <w:t>Madame</w:t>
      </w:r>
      <w:r w:rsidR="00447DDB" w:rsidRPr="00796A0D">
        <w:rPr>
          <w:rFonts w:cs="Arial"/>
          <w:sz w:val="20"/>
          <w:szCs w:val="20"/>
          <w:highlight w:val="yellow"/>
        </w:rPr>
        <w:t xml:space="preserve"> (ou Monsieur)</w:t>
      </w:r>
      <w:r w:rsidRPr="00796A0D">
        <w:rPr>
          <w:rFonts w:cs="Arial"/>
          <w:sz w:val="20"/>
          <w:szCs w:val="20"/>
          <w:highlight w:val="yellow"/>
        </w:rPr>
        <w:t xml:space="preserve"> </w:t>
      </w:r>
      <w:r w:rsidR="00447DDB" w:rsidRPr="00796A0D">
        <w:rPr>
          <w:rFonts w:cs="Arial"/>
          <w:sz w:val="20"/>
          <w:szCs w:val="20"/>
          <w:highlight w:val="yellow"/>
        </w:rPr>
        <w:t>...</w:t>
      </w:r>
      <w:r w:rsidRPr="00796A0D">
        <w:rPr>
          <w:rFonts w:cs="Arial"/>
          <w:sz w:val="20"/>
          <w:szCs w:val="20"/>
        </w:rPr>
        <w:t xml:space="preserve">prescrivant un arrêt de travail pour la période du </w:t>
      </w:r>
      <w:r w:rsidR="00447DDB" w:rsidRPr="00796A0D">
        <w:rPr>
          <w:rFonts w:cs="Arial"/>
          <w:sz w:val="20"/>
          <w:szCs w:val="20"/>
          <w:highlight w:val="yellow"/>
        </w:rPr>
        <w:t>...</w:t>
      </w:r>
      <w:r w:rsidR="00447DDB" w:rsidRPr="00796A0D">
        <w:rPr>
          <w:rFonts w:cs="Arial"/>
          <w:sz w:val="20"/>
          <w:szCs w:val="20"/>
        </w:rPr>
        <w:t xml:space="preserve"> </w:t>
      </w:r>
      <w:r w:rsidRPr="00796A0D">
        <w:rPr>
          <w:rFonts w:cs="Arial"/>
          <w:sz w:val="20"/>
          <w:szCs w:val="20"/>
        </w:rPr>
        <w:t xml:space="preserve">au </w:t>
      </w:r>
      <w:r w:rsidR="00447DDB" w:rsidRPr="00796A0D">
        <w:rPr>
          <w:rFonts w:cs="Arial"/>
          <w:sz w:val="20"/>
          <w:szCs w:val="20"/>
          <w:highlight w:val="yellow"/>
        </w:rPr>
        <w:t>...</w:t>
      </w:r>
      <w:r w:rsidR="00447DDB" w:rsidRPr="00796A0D">
        <w:rPr>
          <w:rFonts w:cs="Arial"/>
          <w:sz w:val="20"/>
          <w:szCs w:val="20"/>
        </w:rPr>
        <w:t> ;</w:t>
      </w:r>
    </w:p>
    <w:p w:rsidR="00796A0D" w:rsidRDefault="00796A0D" w:rsidP="00796A0D">
      <w:pPr>
        <w:tabs>
          <w:tab w:val="left" w:pos="284"/>
        </w:tabs>
        <w:jc w:val="both"/>
        <w:rPr>
          <w:rFonts w:cs="Arial"/>
          <w:bCs/>
          <w:i/>
          <w:color w:val="FF0000"/>
          <w:sz w:val="20"/>
          <w:szCs w:val="20"/>
        </w:rPr>
      </w:pPr>
    </w:p>
    <w:p w:rsidR="00AA0A37" w:rsidRPr="00855787" w:rsidRDefault="00AA0A37" w:rsidP="00AA0A37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855787">
        <w:rPr>
          <w:rFonts w:cs="Arial"/>
          <w:sz w:val="20"/>
          <w:szCs w:val="20"/>
        </w:rPr>
        <w:t>Considérant que pour la période des douze mois précédant cet arrêt de travail</w:t>
      </w:r>
      <w:r w:rsidR="00EB1C9E">
        <w:rPr>
          <w:rFonts w:cs="Arial"/>
          <w:sz w:val="20"/>
          <w:szCs w:val="20"/>
        </w:rPr>
        <w:t xml:space="preserve"> en application de l’année médicale dite « glissante »</w:t>
      </w:r>
      <w:r w:rsidRPr="00855787">
        <w:rPr>
          <w:rFonts w:cs="Arial"/>
          <w:sz w:val="20"/>
          <w:szCs w:val="20"/>
        </w:rPr>
        <w:t xml:space="preserve">, </w:t>
      </w:r>
      <w:r w:rsidRPr="00855787">
        <w:rPr>
          <w:rFonts w:cs="Arial"/>
          <w:sz w:val="20"/>
          <w:szCs w:val="20"/>
          <w:highlight w:val="yellow"/>
        </w:rPr>
        <w:t>Madame (ou Monsieur) ...</w:t>
      </w:r>
      <w:r w:rsidRPr="00CB17CA">
        <w:rPr>
          <w:rFonts w:cs="Arial"/>
          <w:sz w:val="20"/>
          <w:szCs w:val="20"/>
        </w:rPr>
        <w:t xml:space="preserve"> </w:t>
      </w:r>
      <w:r w:rsidRPr="00CB17CA">
        <w:rPr>
          <w:rFonts w:cs="Arial"/>
          <w:sz w:val="20"/>
          <w:szCs w:val="20"/>
          <w:highlight w:val="yellow"/>
        </w:rPr>
        <w:t>a / n’a pas</w:t>
      </w:r>
      <w:r w:rsidRPr="00855787">
        <w:rPr>
          <w:rFonts w:cs="Arial"/>
          <w:sz w:val="20"/>
          <w:szCs w:val="20"/>
        </w:rPr>
        <w:t xml:space="preserve"> bénéficié de congé de maladie ordinaire</w:t>
      </w:r>
      <w:r w:rsidR="00EB1C9E">
        <w:rPr>
          <w:rFonts w:cs="Arial"/>
          <w:i/>
          <w:iCs/>
          <w:color w:val="FF0000"/>
          <w:sz w:val="20"/>
          <w:szCs w:val="20"/>
        </w:rPr>
        <w:t xml:space="preserve"> </w:t>
      </w:r>
      <w:r w:rsidRPr="00855787">
        <w:rPr>
          <w:rFonts w:cs="Arial"/>
          <w:sz w:val="20"/>
          <w:szCs w:val="20"/>
        </w:rPr>
        <w:t>;</w:t>
      </w:r>
    </w:p>
    <w:p w:rsidR="00447DDB" w:rsidRPr="00796A0D" w:rsidRDefault="00447DDB" w:rsidP="002D142E">
      <w:pPr>
        <w:tabs>
          <w:tab w:val="left" w:pos="284"/>
        </w:tabs>
        <w:jc w:val="both"/>
        <w:rPr>
          <w:rFonts w:cs="Arial"/>
          <w:strike/>
          <w:sz w:val="20"/>
          <w:szCs w:val="20"/>
        </w:rPr>
      </w:pPr>
    </w:p>
    <w:p w:rsidR="00F00C66" w:rsidRPr="00796A0D" w:rsidRDefault="00F00C66" w:rsidP="00C92C89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:rsidR="002D142E" w:rsidRPr="00796A0D" w:rsidRDefault="002D142E" w:rsidP="002D142E">
      <w:pPr>
        <w:tabs>
          <w:tab w:val="left" w:pos="284"/>
          <w:tab w:val="left" w:pos="2268"/>
          <w:tab w:val="left" w:pos="2552"/>
        </w:tabs>
        <w:jc w:val="center"/>
        <w:rPr>
          <w:rFonts w:cs="Arial"/>
          <w:b/>
          <w:bCs/>
          <w:sz w:val="28"/>
          <w:szCs w:val="28"/>
        </w:rPr>
      </w:pPr>
      <w:r w:rsidRPr="00796A0D">
        <w:rPr>
          <w:rFonts w:cs="Arial"/>
          <w:b/>
          <w:bCs/>
          <w:sz w:val="28"/>
          <w:szCs w:val="28"/>
        </w:rPr>
        <w:t>ARRÊTE</w:t>
      </w:r>
    </w:p>
    <w:p w:rsidR="002D142E" w:rsidRPr="00796A0D" w:rsidRDefault="002D142E" w:rsidP="002D142E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</w:p>
    <w:p w:rsidR="00001CD2" w:rsidRPr="00796A0D" w:rsidRDefault="002D142E" w:rsidP="00447DDB">
      <w:pPr>
        <w:tabs>
          <w:tab w:val="left" w:pos="284"/>
        </w:tabs>
        <w:jc w:val="both"/>
        <w:rPr>
          <w:rFonts w:cs="Arial"/>
          <w:b/>
          <w:bCs/>
          <w:sz w:val="20"/>
          <w:szCs w:val="20"/>
        </w:rPr>
      </w:pPr>
      <w:r w:rsidRPr="00796A0D">
        <w:rPr>
          <w:rFonts w:cs="Arial"/>
          <w:b/>
          <w:bCs/>
          <w:sz w:val="20"/>
          <w:szCs w:val="20"/>
          <w:u w:val="single"/>
        </w:rPr>
        <w:t>Article 1</w:t>
      </w:r>
      <w:r w:rsidRPr="00796A0D">
        <w:rPr>
          <w:rFonts w:cs="Arial"/>
          <w:b/>
          <w:bCs/>
          <w:sz w:val="20"/>
          <w:szCs w:val="20"/>
        </w:rPr>
        <w:t xml:space="preserve"> :</w:t>
      </w:r>
    </w:p>
    <w:p w:rsidR="00001CD2" w:rsidRPr="00796A0D" w:rsidRDefault="00001CD2" w:rsidP="00447DDB">
      <w:pPr>
        <w:tabs>
          <w:tab w:val="left" w:pos="284"/>
        </w:tabs>
        <w:jc w:val="both"/>
        <w:rPr>
          <w:rFonts w:cs="Arial"/>
          <w:b/>
          <w:bCs/>
          <w:sz w:val="20"/>
          <w:szCs w:val="20"/>
        </w:rPr>
      </w:pPr>
    </w:p>
    <w:p w:rsidR="00447DDB" w:rsidRPr="00796A0D" w:rsidRDefault="00447DDB" w:rsidP="00447DDB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796A0D">
        <w:rPr>
          <w:rFonts w:cs="Arial"/>
          <w:sz w:val="20"/>
          <w:szCs w:val="20"/>
          <w:highlight w:val="yellow"/>
        </w:rPr>
        <w:t>Madame (ou Monsieur) ...</w:t>
      </w:r>
      <w:r w:rsidR="00C92C89" w:rsidRPr="00796A0D">
        <w:rPr>
          <w:rFonts w:cs="Arial"/>
          <w:sz w:val="20"/>
          <w:szCs w:val="20"/>
        </w:rPr>
        <w:t>est placé</w:t>
      </w:r>
      <w:r w:rsidRPr="00796A0D">
        <w:rPr>
          <w:rFonts w:cs="Arial"/>
          <w:sz w:val="20"/>
          <w:szCs w:val="20"/>
          <w:highlight w:val="yellow"/>
        </w:rPr>
        <w:t>e</w:t>
      </w:r>
      <w:r w:rsidR="00C92C89" w:rsidRPr="00796A0D">
        <w:rPr>
          <w:rFonts w:cs="Arial"/>
          <w:sz w:val="20"/>
          <w:szCs w:val="20"/>
        </w:rPr>
        <w:t xml:space="preserve"> en congé de maladie ordinaire du</w:t>
      </w:r>
      <w:r w:rsidR="009B64CD" w:rsidRPr="00796A0D">
        <w:rPr>
          <w:rFonts w:cs="Arial"/>
          <w:sz w:val="20"/>
          <w:szCs w:val="20"/>
        </w:rPr>
        <w:t xml:space="preserve"> </w:t>
      </w:r>
      <w:r w:rsidRPr="00796A0D">
        <w:rPr>
          <w:rFonts w:cs="Arial"/>
          <w:sz w:val="20"/>
          <w:szCs w:val="20"/>
          <w:highlight w:val="yellow"/>
        </w:rPr>
        <w:t>...</w:t>
      </w:r>
      <w:r w:rsidRPr="00796A0D">
        <w:rPr>
          <w:rFonts w:cs="Arial"/>
          <w:sz w:val="20"/>
          <w:szCs w:val="20"/>
        </w:rPr>
        <w:t xml:space="preserve"> au </w:t>
      </w:r>
      <w:r w:rsidRPr="00796A0D">
        <w:rPr>
          <w:rFonts w:cs="Arial"/>
          <w:sz w:val="20"/>
          <w:szCs w:val="20"/>
          <w:highlight w:val="yellow"/>
        </w:rPr>
        <w:t>...</w:t>
      </w:r>
    </w:p>
    <w:p w:rsidR="002D142E" w:rsidRPr="00796A0D" w:rsidRDefault="002D142E" w:rsidP="002D142E">
      <w:pPr>
        <w:jc w:val="both"/>
        <w:rPr>
          <w:rFonts w:cs="Arial"/>
          <w:sz w:val="20"/>
          <w:szCs w:val="20"/>
        </w:rPr>
      </w:pPr>
    </w:p>
    <w:p w:rsidR="00001CD2" w:rsidRPr="00796A0D" w:rsidRDefault="009B64CD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796A0D">
        <w:rPr>
          <w:rFonts w:cs="Arial"/>
          <w:b/>
          <w:bCs/>
          <w:sz w:val="20"/>
          <w:szCs w:val="20"/>
          <w:u w:val="single"/>
        </w:rPr>
        <w:t>Article 2 </w:t>
      </w:r>
      <w:r w:rsidRPr="00796A0D">
        <w:rPr>
          <w:rFonts w:cs="Arial"/>
          <w:b/>
          <w:bCs/>
          <w:sz w:val="20"/>
          <w:szCs w:val="20"/>
        </w:rPr>
        <w:t>:</w:t>
      </w:r>
      <w:r w:rsidRPr="00796A0D">
        <w:rPr>
          <w:rFonts w:cs="Arial"/>
          <w:sz w:val="20"/>
          <w:szCs w:val="20"/>
        </w:rPr>
        <w:t xml:space="preserve"> </w:t>
      </w:r>
    </w:p>
    <w:p w:rsidR="00001CD2" w:rsidRPr="00796A0D" w:rsidRDefault="00001CD2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</w:p>
    <w:p w:rsidR="002D142E" w:rsidRPr="00796A0D" w:rsidRDefault="009B64CD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796A0D">
        <w:rPr>
          <w:rFonts w:cs="Arial"/>
          <w:sz w:val="20"/>
          <w:szCs w:val="20"/>
        </w:rPr>
        <w:t xml:space="preserve">Durant cette période, </w:t>
      </w:r>
      <w:r w:rsidRPr="00796A0D">
        <w:rPr>
          <w:rFonts w:cs="Arial"/>
          <w:sz w:val="20"/>
          <w:szCs w:val="20"/>
          <w:highlight w:val="yellow"/>
        </w:rPr>
        <w:t>Madame (ou Monsieur) ...</w:t>
      </w:r>
      <w:r w:rsidRPr="00796A0D">
        <w:rPr>
          <w:rFonts w:cs="Arial"/>
          <w:sz w:val="20"/>
          <w:szCs w:val="20"/>
        </w:rPr>
        <w:t xml:space="preserve"> percevra : </w:t>
      </w:r>
    </w:p>
    <w:p w:rsidR="00EE0043" w:rsidRPr="00796A0D" w:rsidRDefault="009B64CD" w:rsidP="00EE0043">
      <w:pPr>
        <w:pStyle w:val="Paragraphedeliste"/>
        <w:numPr>
          <w:ilvl w:val="0"/>
          <w:numId w:val="26"/>
        </w:numPr>
        <w:tabs>
          <w:tab w:val="left" w:pos="284"/>
          <w:tab w:val="left" w:pos="2268"/>
          <w:tab w:val="left" w:pos="2552"/>
        </w:tabs>
        <w:rPr>
          <w:rFonts w:cs="Arial"/>
          <w:i/>
          <w:iCs/>
          <w:color w:val="FF0066"/>
          <w:sz w:val="20"/>
          <w:szCs w:val="20"/>
        </w:rPr>
      </w:pPr>
      <w:proofErr w:type="gramStart"/>
      <w:r w:rsidRPr="00796A0D">
        <w:rPr>
          <w:rFonts w:cs="Arial"/>
          <w:sz w:val="20"/>
          <w:szCs w:val="20"/>
        </w:rPr>
        <w:t>du</w:t>
      </w:r>
      <w:proofErr w:type="gramEnd"/>
      <w:r w:rsidRPr="00796A0D">
        <w:rPr>
          <w:rFonts w:cs="Arial"/>
          <w:sz w:val="20"/>
          <w:szCs w:val="20"/>
        </w:rPr>
        <w:t xml:space="preserve"> </w:t>
      </w:r>
      <w:r w:rsidRPr="00796A0D">
        <w:rPr>
          <w:rFonts w:cs="Arial"/>
          <w:sz w:val="20"/>
          <w:szCs w:val="20"/>
          <w:highlight w:val="yellow"/>
        </w:rPr>
        <w:t>...</w:t>
      </w:r>
      <w:r w:rsidRPr="00796A0D">
        <w:rPr>
          <w:rFonts w:cs="Arial"/>
          <w:sz w:val="20"/>
          <w:szCs w:val="20"/>
        </w:rPr>
        <w:t xml:space="preserve"> au </w:t>
      </w:r>
      <w:r w:rsidRPr="00796A0D">
        <w:rPr>
          <w:rFonts w:cs="Arial"/>
          <w:sz w:val="20"/>
          <w:szCs w:val="20"/>
          <w:highlight w:val="yellow"/>
        </w:rPr>
        <w:t>...</w:t>
      </w:r>
      <w:r w:rsidRPr="00796A0D">
        <w:rPr>
          <w:rFonts w:cs="Arial"/>
          <w:sz w:val="20"/>
          <w:szCs w:val="20"/>
        </w:rPr>
        <w:t> : 90% de son traitement indiciaire brut</w:t>
      </w:r>
      <w:r w:rsidR="00001CD2" w:rsidRPr="00796A0D">
        <w:rPr>
          <w:rFonts w:cs="Arial"/>
          <w:sz w:val="20"/>
          <w:szCs w:val="20"/>
        </w:rPr>
        <w:t> ;</w:t>
      </w:r>
    </w:p>
    <w:p w:rsidR="00EE0043" w:rsidRPr="00796A0D" w:rsidRDefault="00EE0043" w:rsidP="00EE0043">
      <w:pPr>
        <w:pStyle w:val="Paragraphedeliste"/>
        <w:numPr>
          <w:ilvl w:val="0"/>
          <w:numId w:val="26"/>
        </w:numPr>
        <w:tabs>
          <w:tab w:val="left" w:pos="284"/>
          <w:tab w:val="left" w:pos="2268"/>
          <w:tab w:val="left" w:pos="2552"/>
        </w:tabs>
        <w:rPr>
          <w:rFonts w:cs="Arial"/>
          <w:i/>
          <w:iCs/>
          <w:color w:val="FF0066"/>
          <w:sz w:val="20"/>
          <w:szCs w:val="20"/>
        </w:rPr>
      </w:pPr>
      <w:r w:rsidRPr="00796A0D">
        <w:rPr>
          <w:rFonts w:cs="Arial"/>
          <w:i/>
          <w:iCs/>
          <w:color w:val="FF0000"/>
          <w:sz w:val="20"/>
          <w:szCs w:val="20"/>
        </w:rPr>
        <w:t>(</w:t>
      </w:r>
      <w:proofErr w:type="gramStart"/>
      <w:r w:rsidRPr="00796A0D">
        <w:rPr>
          <w:rFonts w:cs="Arial"/>
          <w:i/>
          <w:iCs/>
          <w:color w:val="FF0000"/>
          <w:sz w:val="20"/>
          <w:szCs w:val="20"/>
        </w:rPr>
        <w:t>le</w:t>
      </w:r>
      <w:proofErr w:type="gramEnd"/>
      <w:r w:rsidRPr="00796A0D">
        <w:rPr>
          <w:rFonts w:cs="Arial"/>
          <w:i/>
          <w:iCs/>
          <w:color w:val="FF0000"/>
          <w:sz w:val="20"/>
          <w:szCs w:val="20"/>
        </w:rPr>
        <w:t xml:space="preserve"> cas échéant en cas de passage à demi-traitement) </w:t>
      </w:r>
      <w:r w:rsidRPr="00796A0D">
        <w:rPr>
          <w:rFonts w:cs="Arial"/>
          <w:sz w:val="20"/>
          <w:szCs w:val="20"/>
        </w:rPr>
        <w:t xml:space="preserve">du </w:t>
      </w:r>
      <w:r w:rsidRPr="00796A0D">
        <w:rPr>
          <w:rFonts w:cs="Arial"/>
          <w:sz w:val="20"/>
          <w:szCs w:val="20"/>
          <w:highlight w:val="yellow"/>
        </w:rPr>
        <w:t>...</w:t>
      </w:r>
      <w:r w:rsidRPr="00796A0D">
        <w:rPr>
          <w:rFonts w:cs="Arial"/>
          <w:sz w:val="20"/>
          <w:szCs w:val="20"/>
        </w:rPr>
        <w:t xml:space="preserve"> au </w:t>
      </w:r>
      <w:r w:rsidRPr="00796A0D">
        <w:rPr>
          <w:rFonts w:cs="Arial"/>
          <w:sz w:val="20"/>
          <w:szCs w:val="20"/>
          <w:highlight w:val="yellow"/>
        </w:rPr>
        <w:t>...</w:t>
      </w:r>
      <w:r w:rsidRPr="00796A0D">
        <w:rPr>
          <w:rFonts w:cs="Arial"/>
          <w:sz w:val="20"/>
          <w:szCs w:val="20"/>
        </w:rPr>
        <w:t> : 50% de son traitement indiciaire brut</w:t>
      </w:r>
      <w:r w:rsidR="00001CD2" w:rsidRPr="00796A0D">
        <w:rPr>
          <w:rFonts w:cs="Arial"/>
          <w:sz w:val="20"/>
          <w:szCs w:val="20"/>
        </w:rPr>
        <w:t> ;</w:t>
      </w:r>
    </w:p>
    <w:p w:rsidR="00001CD2" w:rsidRPr="00796A0D" w:rsidRDefault="00001CD2" w:rsidP="00EE0043">
      <w:pPr>
        <w:pStyle w:val="Paragraphedeliste"/>
        <w:numPr>
          <w:ilvl w:val="0"/>
          <w:numId w:val="26"/>
        </w:numPr>
        <w:tabs>
          <w:tab w:val="left" w:pos="284"/>
          <w:tab w:val="left" w:pos="2268"/>
          <w:tab w:val="left" w:pos="2552"/>
        </w:tabs>
        <w:rPr>
          <w:rFonts w:cs="Arial"/>
          <w:i/>
          <w:iCs/>
          <w:color w:val="FF0066"/>
          <w:sz w:val="20"/>
          <w:szCs w:val="20"/>
        </w:rPr>
      </w:pPr>
      <w:r w:rsidRPr="00796A0D">
        <w:rPr>
          <w:rFonts w:cs="Arial"/>
          <w:i/>
          <w:iCs/>
          <w:color w:val="FF0000"/>
          <w:sz w:val="20"/>
          <w:szCs w:val="20"/>
        </w:rPr>
        <w:t>(</w:t>
      </w:r>
      <w:proofErr w:type="gramStart"/>
      <w:r w:rsidRPr="00796A0D">
        <w:rPr>
          <w:rFonts w:cs="Arial"/>
          <w:i/>
          <w:iCs/>
          <w:color w:val="FF0000"/>
          <w:sz w:val="20"/>
          <w:szCs w:val="20"/>
        </w:rPr>
        <w:t>le</w:t>
      </w:r>
      <w:proofErr w:type="gramEnd"/>
      <w:r w:rsidRPr="00796A0D">
        <w:rPr>
          <w:rFonts w:cs="Arial"/>
          <w:i/>
          <w:iCs/>
          <w:color w:val="FF0000"/>
          <w:sz w:val="20"/>
          <w:szCs w:val="20"/>
        </w:rPr>
        <w:t xml:space="preserve"> cas échéant) </w:t>
      </w:r>
      <w:r w:rsidRPr="00796A0D">
        <w:rPr>
          <w:rFonts w:cs="Arial"/>
          <w:sz w:val="20"/>
          <w:szCs w:val="20"/>
        </w:rPr>
        <w:t xml:space="preserve">l’intégralité du supplément familial de traitement et de l’indemnité de résidence. </w:t>
      </w:r>
    </w:p>
    <w:p w:rsidR="00EE0043" w:rsidRPr="00796A0D" w:rsidRDefault="00EE0043" w:rsidP="00001CD2">
      <w:pPr>
        <w:tabs>
          <w:tab w:val="left" w:pos="284"/>
          <w:tab w:val="left" w:pos="2268"/>
          <w:tab w:val="left" w:pos="2552"/>
        </w:tabs>
        <w:rPr>
          <w:rFonts w:cs="Arial"/>
          <w:i/>
          <w:iCs/>
          <w:color w:val="FF0066"/>
          <w:sz w:val="20"/>
          <w:szCs w:val="20"/>
        </w:rPr>
      </w:pPr>
    </w:p>
    <w:p w:rsidR="00001CD2" w:rsidRPr="00796A0D" w:rsidRDefault="00001CD2" w:rsidP="00001CD2">
      <w:pPr>
        <w:tabs>
          <w:tab w:val="left" w:pos="284"/>
          <w:tab w:val="left" w:pos="2268"/>
          <w:tab w:val="left" w:pos="2552"/>
        </w:tabs>
        <w:rPr>
          <w:rFonts w:cs="Arial"/>
          <w:color w:val="FF0066"/>
          <w:sz w:val="20"/>
          <w:szCs w:val="20"/>
        </w:rPr>
      </w:pPr>
      <w:r w:rsidRPr="00796A0D">
        <w:rPr>
          <w:rFonts w:cs="Arial"/>
          <w:i/>
          <w:iCs/>
          <w:color w:val="FF0000"/>
          <w:sz w:val="20"/>
          <w:szCs w:val="20"/>
        </w:rPr>
        <w:t>(</w:t>
      </w:r>
      <w:proofErr w:type="gramStart"/>
      <w:r w:rsidRPr="00796A0D">
        <w:rPr>
          <w:rFonts w:cs="Arial"/>
          <w:i/>
          <w:iCs/>
          <w:color w:val="FF0000"/>
          <w:sz w:val="20"/>
          <w:szCs w:val="20"/>
        </w:rPr>
        <w:t>le</w:t>
      </w:r>
      <w:proofErr w:type="gramEnd"/>
      <w:r w:rsidRPr="00796A0D">
        <w:rPr>
          <w:rFonts w:cs="Arial"/>
          <w:i/>
          <w:iCs/>
          <w:color w:val="FF0000"/>
          <w:sz w:val="20"/>
          <w:szCs w:val="20"/>
        </w:rPr>
        <w:t xml:space="preserve"> cas échéant)</w:t>
      </w:r>
      <w:r w:rsidRPr="00796A0D">
        <w:rPr>
          <w:rFonts w:cs="Arial"/>
          <w:color w:val="FF0000"/>
          <w:sz w:val="20"/>
          <w:szCs w:val="20"/>
        </w:rPr>
        <w:t xml:space="preserve"> </w:t>
      </w:r>
      <w:r w:rsidRPr="00796A0D">
        <w:rPr>
          <w:rFonts w:cs="Arial"/>
          <w:sz w:val="20"/>
          <w:szCs w:val="20"/>
        </w:rPr>
        <w:t xml:space="preserve">Le </w:t>
      </w:r>
      <w:r w:rsidRPr="00796A0D">
        <w:rPr>
          <w:rFonts w:cs="Arial"/>
          <w:sz w:val="20"/>
          <w:szCs w:val="20"/>
          <w:highlight w:val="yellow"/>
        </w:rPr>
        <w:t>…</w:t>
      </w:r>
      <w:r w:rsidRPr="00796A0D">
        <w:rPr>
          <w:rFonts w:cs="Arial"/>
          <w:sz w:val="20"/>
          <w:szCs w:val="20"/>
        </w:rPr>
        <w:t xml:space="preserve"> correspondant à la journée de carence, n’est pas rémunéré. </w:t>
      </w:r>
    </w:p>
    <w:p w:rsidR="009B64CD" w:rsidRDefault="00796A0D" w:rsidP="004B55A5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  <w:r>
        <w:rPr>
          <w:rFonts w:cs="Arial"/>
          <w:bCs/>
          <w:noProof/>
          <w:sz w:val="20"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FD50AE5" wp14:editId="4B0FC098">
                <wp:simplePos x="0" y="0"/>
                <wp:positionH relativeFrom="margin">
                  <wp:posOffset>2540</wp:posOffset>
                </wp:positionH>
                <wp:positionV relativeFrom="paragraph">
                  <wp:posOffset>183516</wp:posOffset>
                </wp:positionV>
                <wp:extent cx="6315710" cy="2266950"/>
                <wp:effectExtent l="38100" t="38100" r="123190" b="114300"/>
                <wp:wrapNone/>
                <wp:docPr id="1106385540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5710" cy="226695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3175"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96A0D" w:rsidRDefault="00796A0D" w:rsidP="00796A0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FD50AE5" id="Rectangle : coins arrondis 1" o:spid="_x0000_s1026" style="position:absolute;margin-left:.2pt;margin-top:14.45pt;width:497.3pt;height:178.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" fillcolor="#f0d5c8 [1301]" strokecolor="#c66636 [2405]" strokeweight=".25pt">
                <v:shadow on="t" color="black" opacity="26214f" origin="-.5,-.5" offset=".74836mm,.74836mm"/>
                <v:textbox>
                  <w:txbxContent>
                    <w:p w:rsidR="00796A0D" w:rsidRDefault="00796A0D" w:rsidP="00796A0D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796A0D" w:rsidRDefault="00796A0D" w:rsidP="004B55A5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  <w:r w:rsidRPr="000D0337">
        <w:rPr>
          <w:rFonts w:cs="Arial"/>
          <w:bCs/>
          <w:noProof/>
          <w:sz w:val="20"/>
          <w:szCs w:val="20"/>
          <w:u w:val="single"/>
        </w:rPr>
        <w:lastRenderedPageBreak/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537FF303" wp14:editId="6E9A9A38">
                <wp:simplePos x="0" y="0"/>
                <wp:positionH relativeFrom="column">
                  <wp:posOffset>164465</wp:posOffset>
                </wp:positionH>
                <wp:positionV relativeFrom="paragraph">
                  <wp:posOffset>186690</wp:posOffset>
                </wp:positionV>
                <wp:extent cx="5981700" cy="1990725"/>
                <wp:effectExtent l="0" t="0" r="0" b="9525"/>
                <wp:wrapSquare wrapText="bothSides"/>
                <wp:docPr id="211192004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1700" cy="199072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96A0D" w:rsidRPr="000D0337" w:rsidRDefault="00796A0D" w:rsidP="00796A0D">
                            <w:p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jc w:val="both"/>
                              <w:rPr>
                                <w:rFonts w:cs="Arial"/>
                              </w:rPr>
                            </w:pPr>
                            <w:r w:rsidRPr="000D0337">
                              <w:rPr>
                                <w:rFonts w:cs="Arial"/>
                              </w:rPr>
                              <w:t xml:space="preserve">La mention relative au délai de carence est à supprimer dans les cas d’exclusion suivants : </w:t>
                            </w:r>
                          </w:p>
                          <w:p w:rsidR="00796A0D" w:rsidRPr="000D0337" w:rsidRDefault="00796A0D" w:rsidP="00796A0D">
                            <w:pPr>
                              <w:pStyle w:val="Paragraphedeliste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>prolongation</w:t>
                            </w:r>
                            <w:proofErr w:type="gramEnd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 d’arrêt de travail ;</w:t>
                            </w:r>
                          </w:p>
                          <w:p w:rsidR="00796A0D" w:rsidRPr="000D0337" w:rsidRDefault="00796A0D" w:rsidP="00796A0D">
                            <w:pPr>
                              <w:pStyle w:val="Paragraphedeliste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>lorsque</w:t>
                            </w:r>
                            <w:proofErr w:type="gramEnd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 la période de reprise du travail entre deux congés de maladie accordés au titre de la même cause n’a pas excédé 48 heures ;</w:t>
                            </w:r>
                          </w:p>
                          <w:p w:rsidR="00796A0D" w:rsidRPr="000D0337" w:rsidRDefault="00796A0D" w:rsidP="00796A0D">
                            <w:pPr>
                              <w:pStyle w:val="Paragraphedeliste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>en</w:t>
                            </w:r>
                            <w:proofErr w:type="gramEnd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 cas de congés de maladie accordés postérieurement à un 1</w:t>
                            </w:r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  <w:vertAlign w:val="superscript"/>
                              </w:rPr>
                              <w:t>er</w:t>
                            </w:r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 congé de maladie au tire d’une ALD pour une période de 3 ans ;</w:t>
                            </w:r>
                          </w:p>
                          <w:p w:rsidR="00796A0D" w:rsidRPr="000D0337" w:rsidRDefault="00796A0D" w:rsidP="00796A0D">
                            <w:pPr>
                              <w:pStyle w:val="Paragraphedeliste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>lorsque</w:t>
                            </w:r>
                            <w:proofErr w:type="gramEnd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 le congé de maladie est accordé postérieurement à la déclaration de grossesse et avant le début du congé de maternité ; </w:t>
                            </w:r>
                          </w:p>
                          <w:p w:rsidR="00796A0D" w:rsidRPr="000D0337" w:rsidRDefault="00796A0D" w:rsidP="00796A0D">
                            <w:pPr>
                              <w:pStyle w:val="Paragraphedeliste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>lors</w:t>
                            </w:r>
                            <w:proofErr w:type="gramEnd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 du premier arrêt de travail intervenant pendant une période de 13 semaines à compter du décès d’un enfant de l’agent âgé de moins de 25 ans ou d’une personne âgée de moins de 25 ans dont l’agent a la charge effective et permanente </w:t>
                            </w:r>
                          </w:p>
                          <w:p w:rsidR="00796A0D" w:rsidRPr="000D0337" w:rsidRDefault="00796A0D" w:rsidP="00796A0D">
                            <w:pPr>
                              <w:pStyle w:val="Paragraphedeliste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</w:pPr>
                            <w:proofErr w:type="gramStart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>en</w:t>
                            </w:r>
                            <w:proofErr w:type="gramEnd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 cas d’arrêt de travail faisant suite à une interruption spontanée de grossesse ayant eu lieu avant la 22ème semaine d'aménorrhée ou à une interruption de grossesse pratiquée pour motif </w:t>
                            </w:r>
                            <w:r w:rsidRPr="000D0337">
                              <w:rPr>
                                <w:rFonts w:cs="Arial"/>
                                <w:sz w:val="20"/>
                                <w:szCs w:val="20"/>
                              </w:rPr>
                              <w:t>médical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7FF303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7" type="#_x0000_t202" style="position:absolute;margin-left:12.95pt;margin-top:14.7pt;width:471pt;height:156.7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" fillcolor="#f0d5c8 [1301]" stroked="f">
                <v:textbox>
                  <w:txbxContent>
                    <w:p w:rsidR="00796A0D" w:rsidRPr="000D0337" w:rsidRDefault="00796A0D" w:rsidP="00796A0D">
                      <w:p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jc w:val="both"/>
                        <w:rPr>
                          <w:rFonts w:cs="Arial"/>
                        </w:rPr>
                      </w:pPr>
                      <w:r w:rsidRPr="000D0337">
                        <w:rPr>
                          <w:rFonts w:cs="Arial"/>
                        </w:rPr>
                        <w:t xml:space="preserve">La mention relative au délai de carence est à supprimer dans les cas d’exclusion suivants : </w:t>
                      </w:r>
                    </w:p>
                    <w:p w:rsidR="00796A0D" w:rsidRPr="000D0337" w:rsidRDefault="00796A0D" w:rsidP="00796A0D">
                      <w:pPr>
                        <w:pStyle w:val="Paragraphedeliste"/>
                        <w:numPr>
                          <w:ilvl w:val="0"/>
                          <w:numId w:val="26"/>
                        </w:num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rPr>
                          <w:rFonts w:cs="Arial"/>
                          <w:sz w:val="18"/>
                          <w:szCs w:val="18"/>
                        </w:rPr>
                      </w:pPr>
                      <w:proofErr w:type="gramStart"/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>prolongation</w:t>
                      </w:r>
                      <w:proofErr w:type="gramEnd"/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 xml:space="preserve"> d’arrêt de travail ;</w:t>
                      </w:r>
                    </w:p>
                    <w:p w:rsidR="00796A0D" w:rsidRPr="000D0337" w:rsidRDefault="00796A0D" w:rsidP="00796A0D">
                      <w:pPr>
                        <w:pStyle w:val="Paragraphedeliste"/>
                        <w:numPr>
                          <w:ilvl w:val="0"/>
                          <w:numId w:val="26"/>
                        </w:num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rPr>
                          <w:rFonts w:cs="Arial"/>
                          <w:sz w:val="18"/>
                          <w:szCs w:val="18"/>
                        </w:rPr>
                      </w:pPr>
                      <w:proofErr w:type="gramStart"/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>lorsque</w:t>
                      </w:r>
                      <w:proofErr w:type="gramEnd"/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 xml:space="preserve"> la période de reprise du travail entre deux congés de maladie accordés au titre de la même cause n’a pas excédé 48 heures ;</w:t>
                      </w:r>
                    </w:p>
                    <w:p w:rsidR="00796A0D" w:rsidRPr="000D0337" w:rsidRDefault="00796A0D" w:rsidP="00796A0D">
                      <w:pPr>
                        <w:pStyle w:val="Paragraphedeliste"/>
                        <w:numPr>
                          <w:ilvl w:val="0"/>
                          <w:numId w:val="26"/>
                        </w:num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rPr>
                          <w:rFonts w:cs="Arial"/>
                          <w:sz w:val="18"/>
                          <w:szCs w:val="18"/>
                        </w:rPr>
                      </w:pPr>
                      <w:proofErr w:type="gramStart"/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>en</w:t>
                      </w:r>
                      <w:proofErr w:type="gramEnd"/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 xml:space="preserve"> cas de congés de maladie accordés postérieurement à un 1</w:t>
                      </w:r>
                      <w:r w:rsidRPr="000D0337">
                        <w:rPr>
                          <w:rFonts w:cs="Arial"/>
                          <w:sz w:val="18"/>
                          <w:szCs w:val="18"/>
                          <w:vertAlign w:val="superscript"/>
                        </w:rPr>
                        <w:t>er</w:t>
                      </w:r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 xml:space="preserve"> congé de maladie au tire d’une ALD pour une période de 3 ans ;</w:t>
                      </w:r>
                    </w:p>
                    <w:p w:rsidR="00796A0D" w:rsidRPr="000D0337" w:rsidRDefault="00796A0D" w:rsidP="00796A0D">
                      <w:pPr>
                        <w:pStyle w:val="Paragraphedeliste"/>
                        <w:numPr>
                          <w:ilvl w:val="0"/>
                          <w:numId w:val="26"/>
                        </w:num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rPr>
                          <w:rFonts w:cs="Arial"/>
                          <w:sz w:val="18"/>
                          <w:szCs w:val="18"/>
                        </w:rPr>
                      </w:pPr>
                      <w:proofErr w:type="gramStart"/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>lorsque</w:t>
                      </w:r>
                      <w:proofErr w:type="gramEnd"/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 xml:space="preserve"> le congé de maladie est accordé postérieurement à la déclaration de grossesse et avant le début du congé de maternité ; </w:t>
                      </w:r>
                    </w:p>
                    <w:p w:rsidR="00796A0D" w:rsidRPr="000D0337" w:rsidRDefault="00796A0D" w:rsidP="00796A0D">
                      <w:pPr>
                        <w:pStyle w:val="Paragraphedeliste"/>
                        <w:numPr>
                          <w:ilvl w:val="0"/>
                          <w:numId w:val="26"/>
                        </w:num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rPr>
                          <w:rFonts w:cs="Arial"/>
                          <w:sz w:val="18"/>
                          <w:szCs w:val="18"/>
                        </w:rPr>
                      </w:pPr>
                      <w:proofErr w:type="gramStart"/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>lors</w:t>
                      </w:r>
                      <w:proofErr w:type="gramEnd"/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 xml:space="preserve"> du premier arrêt de travail intervenant pendant une période de 13 semaines à compter du décès d’un enfant de l’agent âgé de moins de 25 ans ou d’une personne âgée de moins de 25 ans dont l’agent a la charge effective et permanente </w:t>
                      </w:r>
                    </w:p>
                    <w:p w:rsidR="00796A0D" w:rsidRPr="000D0337" w:rsidRDefault="00796A0D" w:rsidP="00796A0D">
                      <w:pPr>
                        <w:pStyle w:val="Paragraphedeliste"/>
                        <w:numPr>
                          <w:ilvl w:val="0"/>
                          <w:numId w:val="26"/>
                        </w:numPr>
                        <w:tabs>
                          <w:tab w:val="left" w:pos="284"/>
                          <w:tab w:val="left" w:pos="2268"/>
                          <w:tab w:val="left" w:pos="2552"/>
                        </w:tabs>
                      </w:pPr>
                      <w:proofErr w:type="gramStart"/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>en</w:t>
                      </w:r>
                      <w:proofErr w:type="gramEnd"/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 xml:space="preserve"> cas d’arrêt de travail faisant suite à une interruption spontanée de grossesse ayant eu lieu avant la 22ème semaine d'aménorrhée ou à une interruption de grossesse pratiquée pour motif </w:t>
                      </w:r>
                      <w:r w:rsidRPr="000D0337">
                        <w:rPr>
                          <w:rFonts w:cs="Arial"/>
                          <w:sz w:val="20"/>
                          <w:szCs w:val="20"/>
                        </w:rPr>
                        <w:t>médical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96A0D" w:rsidRDefault="00796A0D" w:rsidP="004B55A5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</w:p>
    <w:p w:rsidR="00D977AE" w:rsidRPr="00796A0D" w:rsidRDefault="00D977AE" w:rsidP="004B55A5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  <w:r w:rsidRPr="00796A0D">
        <w:rPr>
          <w:rFonts w:cs="Arial"/>
          <w:i/>
          <w:iCs/>
          <w:color w:val="FF0000"/>
          <w:sz w:val="20"/>
          <w:szCs w:val="20"/>
        </w:rPr>
        <w:t>(</w:t>
      </w:r>
      <w:proofErr w:type="gramStart"/>
      <w:r w:rsidRPr="00796A0D">
        <w:rPr>
          <w:rFonts w:cs="Arial"/>
          <w:i/>
          <w:iCs/>
          <w:color w:val="FF0000"/>
          <w:sz w:val="20"/>
          <w:szCs w:val="20"/>
        </w:rPr>
        <w:t>le</w:t>
      </w:r>
      <w:proofErr w:type="gramEnd"/>
      <w:r w:rsidRPr="00796A0D">
        <w:rPr>
          <w:rFonts w:cs="Arial"/>
          <w:i/>
          <w:iCs/>
          <w:color w:val="FF0000"/>
          <w:sz w:val="20"/>
          <w:szCs w:val="20"/>
        </w:rPr>
        <w:t xml:space="preserve"> cas échéant) </w:t>
      </w:r>
      <w:r w:rsidRPr="00796A0D">
        <w:rPr>
          <w:rFonts w:cs="Arial"/>
          <w:color w:val="000000" w:themeColor="text1"/>
          <w:sz w:val="20"/>
          <w:szCs w:val="20"/>
        </w:rPr>
        <w:t>La nouvelle bonification indiciaire est maintenue dans les mêmes proportions que le traitement.</w:t>
      </w:r>
      <w:r w:rsidRPr="00796A0D">
        <w:rPr>
          <w:rFonts w:cs="Arial"/>
          <w:i/>
          <w:iCs/>
          <w:color w:val="000000" w:themeColor="text1"/>
          <w:sz w:val="20"/>
          <w:szCs w:val="20"/>
        </w:rPr>
        <w:t xml:space="preserve"> </w:t>
      </w:r>
    </w:p>
    <w:p w:rsidR="00D977AE" w:rsidRPr="00796A0D" w:rsidRDefault="00D977AE" w:rsidP="004B55A5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</w:p>
    <w:p w:rsidR="00EE09F9" w:rsidRPr="00796A0D" w:rsidRDefault="002D7193" w:rsidP="00EE09F9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796A0D">
        <w:rPr>
          <w:rFonts w:cs="Arial"/>
          <w:i/>
          <w:iCs/>
          <w:color w:val="FF0000"/>
          <w:sz w:val="20"/>
          <w:szCs w:val="20"/>
        </w:rPr>
        <w:t>(</w:t>
      </w:r>
      <w:proofErr w:type="gramStart"/>
      <w:r w:rsidRPr="00796A0D">
        <w:rPr>
          <w:rFonts w:cs="Arial"/>
          <w:i/>
          <w:iCs/>
          <w:color w:val="FF0000"/>
          <w:sz w:val="20"/>
          <w:szCs w:val="20"/>
        </w:rPr>
        <w:t>le</w:t>
      </w:r>
      <w:proofErr w:type="gramEnd"/>
      <w:r w:rsidRPr="00796A0D">
        <w:rPr>
          <w:rFonts w:cs="Arial"/>
          <w:i/>
          <w:iCs/>
          <w:color w:val="FF0000"/>
          <w:sz w:val="20"/>
          <w:szCs w:val="20"/>
        </w:rPr>
        <w:t xml:space="preserve"> cas échéant) </w:t>
      </w:r>
      <w:r w:rsidR="00EE09F9" w:rsidRPr="00796A0D">
        <w:rPr>
          <w:rFonts w:cs="Arial"/>
          <w:sz w:val="20"/>
          <w:szCs w:val="20"/>
        </w:rPr>
        <w:t xml:space="preserve">Conformément à la délibération n° </w:t>
      </w:r>
      <w:r w:rsidR="00EE09F9" w:rsidRPr="00796A0D">
        <w:rPr>
          <w:rFonts w:cs="Arial"/>
          <w:sz w:val="20"/>
          <w:szCs w:val="20"/>
          <w:highlight w:val="yellow"/>
        </w:rPr>
        <w:t>…,</w:t>
      </w:r>
      <w:r w:rsidR="00EE09F9" w:rsidRPr="00796A0D">
        <w:rPr>
          <w:rFonts w:cs="Arial"/>
          <w:sz w:val="20"/>
          <w:szCs w:val="20"/>
        </w:rPr>
        <w:t xml:space="preserve"> </w:t>
      </w:r>
      <w:r w:rsidR="00EE09F9" w:rsidRPr="00796A0D">
        <w:rPr>
          <w:rFonts w:cs="Arial"/>
          <w:sz w:val="20"/>
          <w:szCs w:val="20"/>
          <w:highlight w:val="yellow"/>
        </w:rPr>
        <w:t>Madame (ou Monsieur) ...</w:t>
      </w:r>
      <w:r w:rsidR="00EE09F9" w:rsidRPr="00796A0D">
        <w:rPr>
          <w:rFonts w:cs="Arial"/>
          <w:sz w:val="20"/>
          <w:szCs w:val="20"/>
        </w:rPr>
        <w:t xml:space="preserve">percevra </w:t>
      </w:r>
      <w:r w:rsidR="00EE09F9" w:rsidRPr="00796A0D">
        <w:rPr>
          <w:rFonts w:cs="Arial"/>
          <w:sz w:val="20"/>
          <w:szCs w:val="20"/>
          <w:highlight w:val="yellow"/>
        </w:rPr>
        <w:t>…</w:t>
      </w:r>
      <w:r w:rsidR="00EE09F9" w:rsidRPr="00796A0D">
        <w:rPr>
          <w:rFonts w:cs="Arial"/>
          <w:sz w:val="20"/>
          <w:szCs w:val="20"/>
        </w:rPr>
        <w:t xml:space="preserve"> au titre du régime indemnitaire. </w:t>
      </w:r>
    </w:p>
    <w:p w:rsidR="00C92C89" w:rsidRDefault="00796A0D" w:rsidP="002D142E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7D1D69">
        <w:rPr>
          <w:rFonts w:cs="Arial"/>
          <w:bCs/>
          <w:noProof/>
          <w:sz w:val="20"/>
          <w:szCs w:val="20"/>
          <w:u w:val="single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760DFA6F" wp14:editId="114D61F3">
                <wp:simplePos x="0" y="0"/>
                <wp:positionH relativeFrom="margin">
                  <wp:posOffset>132080</wp:posOffset>
                </wp:positionH>
                <wp:positionV relativeFrom="paragraph">
                  <wp:posOffset>267970</wp:posOffset>
                </wp:positionV>
                <wp:extent cx="6010910" cy="1404620"/>
                <wp:effectExtent l="0" t="0" r="8890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091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96A0D" w:rsidRDefault="00796A0D" w:rsidP="00796A0D">
                            <w:p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jc w:val="both"/>
                            </w:pPr>
                            <w:r>
                              <w:rPr>
                                <w:rFonts w:cs="Arial"/>
                              </w:rPr>
                              <w:t>La</w:t>
                            </w:r>
                            <w:r w:rsidRPr="007D1D69">
                              <w:rPr>
                                <w:rFonts w:cs="Arial"/>
                              </w:rPr>
                              <w:t xml:space="preserve"> délibération relative au RIFSEEP</w:t>
                            </w:r>
                            <w:r>
                              <w:rPr>
                                <w:rFonts w:cs="Arial"/>
                              </w:rPr>
                              <w:t xml:space="preserve"> </w:t>
                            </w:r>
                            <w:r w:rsidRPr="007D1D69">
                              <w:rPr>
                                <w:rFonts w:cs="Arial"/>
                              </w:rPr>
                              <w:t>/</w:t>
                            </w:r>
                            <w:r>
                              <w:rPr>
                                <w:rFonts w:cs="Arial"/>
                              </w:rPr>
                              <w:t xml:space="preserve"> </w:t>
                            </w:r>
                            <w:r w:rsidRPr="007D1D69">
                              <w:rPr>
                                <w:rFonts w:cs="Arial"/>
                              </w:rPr>
                              <w:t xml:space="preserve">ISFE </w:t>
                            </w:r>
                            <w:r>
                              <w:rPr>
                                <w:rFonts w:cs="Arial"/>
                              </w:rPr>
                              <w:t xml:space="preserve">doit avoir prévu le principe et les modalités du </w:t>
                            </w:r>
                            <w:r w:rsidRPr="007D1D69">
                              <w:rPr>
                                <w:rFonts w:cs="Arial"/>
                              </w:rPr>
                              <w:t>maintien du régime indemnitair</w:t>
                            </w:r>
                            <w:r>
                              <w:rPr>
                                <w:rFonts w:cs="Arial"/>
                              </w:rPr>
                              <w:t>e</w:t>
                            </w:r>
                            <w:r w:rsidRPr="007D1D69">
                              <w:rPr>
                                <w:rFonts w:cs="Arial"/>
                              </w:rPr>
                              <w:t xml:space="preserve">. A défaut de précision, l’agent ne peut se prévaloir du maintien du régime indemnitaire)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60DFA6F" id="_x0000_s1028" type="#_x0000_t202" style="position:absolute;left:0;text-align:left;margin-left:10.4pt;margin-top:21.1pt;width:473.3pt;height:110.6pt;z-index:25167052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" fillcolor="#f0d5c8 [1301]" stroked="f">
                <v:textbox style="mso-fit-shape-to-text:t">
                  <w:txbxContent>
                    <w:p w:rsidR="00796A0D" w:rsidRDefault="00796A0D" w:rsidP="00796A0D">
                      <w:p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jc w:val="both"/>
                      </w:pPr>
                      <w:r>
                        <w:rPr>
                          <w:rFonts w:cs="Arial"/>
                        </w:rPr>
                        <w:t>La</w:t>
                      </w:r>
                      <w:r w:rsidRPr="007D1D69">
                        <w:rPr>
                          <w:rFonts w:cs="Arial"/>
                        </w:rPr>
                        <w:t xml:space="preserve"> délibération relative au RIFSEEP</w:t>
                      </w:r>
                      <w:r>
                        <w:rPr>
                          <w:rFonts w:cs="Arial"/>
                        </w:rPr>
                        <w:t xml:space="preserve"> </w:t>
                      </w:r>
                      <w:r w:rsidRPr="007D1D69">
                        <w:rPr>
                          <w:rFonts w:cs="Arial"/>
                        </w:rPr>
                        <w:t>/</w:t>
                      </w:r>
                      <w:r>
                        <w:rPr>
                          <w:rFonts w:cs="Arial"/>
                        </w:rPr>
                        <w:t xml:space="preserve"> </w:t>
                      </w:r>
                      <w:r w:rsidRPr="007D1D69">
                        <w:rPr>
                          <w:rFonts w:cs="Arial"/>
                        </w:rPr>
                        <w:t xml:space="preserve">ISFE </w:t>
                      </w:r>
                      <w:r>
                        <w:rPr>
                          <w:rFonts w:cs="Arial"/>
                        </w:rPr>
                        <w:t xml:space="preserve">doit avoir prévu le principe et les modalités du </w:t>
                      </w:r>
                      <w:r w:rsidRPr="007D1D69">
                        <w:rPr>
                          <w:rFonts w:cs="Arial"/>
                        </w:rPr>
                        <w:t>maintien du régime indemnitair</w:t>
                      </w:r>
                      <w:r>
                        <w:rPr>
                          <w:rFonts w:cs="Arial"/>
                        </w:rPr>
                        <w:t>e</w:t>
                      </w:r>
                      <w:r w:rsidRPr="007D1D69">
                        <w:rPr>
                          <w:rFonts w:cs="Arial"/>
                        </w:rPr>
                        <w:t xml:space="preserve">. A défaut de précision, l’agent ne peut se prévaloir du maintien du régime indemnitaire)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796A0D" w:rsidRDefault="00796A0D" w:rsidP="002D142E">
      <w:pPr>
        <w:tabs>
          <w:tab w:val="left" w:pos="284"/>
        </w:tabs>
        <w:jc w:val="both"/>
        <w:rPr>
          <w:rFonts w:cs="Arial"/>
          <w:sz w:val="20"/>
          <w:szCs w:val="20"/>
        </w:rPr>
      </w:pPr>
      <w:r>
        <w:rPr>
          <w:rFonts w:cs="Arial"/>
          <w:bCs/>
          <w:noProof/>
          <w:sz w:val="20"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5BEB288" wp14:editId="2FD40A30">
                <wp:simplePos x="0" y="0"/>
                <wp:positionH relativeFrom="margin">
                  <wp:posOffset>0</wp:posOffset>
                </wp:positionH>
                <wp:positionV relativeFrom="paragraph">
                  <wp:posOffset>38100</wp:posOffset>
                </wp:positionV>
                <wp:extent cx="6177280" cy="533400"/>
                <wp:effectExtent l="38100" t="38100" r="109220" b="114300"/>
                <wp:wrapNone/>
                <wp:docPr id="2075911706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7280" cy="53340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3175"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96A0D" w:rsidRDefault="00796A0D" w:rsidP="00796A0D">
                            <w:pPr>
                              <w:jc w:val="center"/>
                            </w:pPr>
                            <w:r>
                              <w:t>l.julien@ccsvp.fr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BEB288" id="_x0000_s1029" style="position:absolute;left:0;text-align:left;margin-left:0;margin-top:3pt;width:486.4pt;height:42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" fillcolor="#f0d5c8 [1301]" strokecolor="#c66636 [2405]" strokeweight=".25pt">
                <v:shadow on="t" color="black" opacity="26214f" origin="-.5,-.5" offset=".74836mm,.74836mm"/>
                <v:textbox>
                  <w:txbxContent>
                    <w:p w:rsidR="00796A0D" w:rsidRDefault="00796A0D" w:rsidP="00796A0D">
                      <w:pPr>
                        <w:jc w:val="center"/>
                      </w:pPr>
                      <w:r>
                        <w:t>l.julien@ccsvp.fr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D977AE" w:rsidRPr="00796A0D" w:rsidRDefault="00D977AE" w:rsidP="002D142E">
      <w:pPr>
        <w:tabs>
          <w:tab w:val="left" w:pos="284"/>
        </w:tabs>
        <w:jc w:val="both"/>
        <w:rPr>
          <w:rFonts w:cs="Arial"/>
          <w:bCs/>
          <w:sz w:val="20"/>
          <w:szCs w:val="20"/>
          <w:u w:val="single"/>
        </w:rPr>
      </w:pPr>
    </w:p>
    <w:p w:rsidR="00001CD2" w:rsidRPr="00796A0D" w:rsidRDefault="002D142E" w:rsidP="00C92C89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  <w:r w:rsidRPr="00796A0D">
        <w:rPr>
          <w:rFonts w:ascii="Arial" w:hAnsi="Arial" w:cs="Arial"/>
          <w:b/>
          <w:u w:val="single"/>
        </w:rPr>
        <w:t xml:space="preserve">Article </w:t>
      </w:r>
      <w:r w:rsidR="00A07596" w:rsidRPr="00796A0D">
        <w:rPr>
          <w:rFonts w:ascii="Arial" w:hAnsi="Arial" w:cs="Arial"/>
          <w:b/>
          <w:u w:val="single"/>
        </w:rPr>
        <w:t>3</w:t>
      </w:r>
      <w:r w:rsidRPr="00796A0D">
        <w:rPr>
          <w:rFonts w:ascii="Arial" w:hAnsi="Arial" w:cs="Arial"/>
          <w:b/>
        </w:rPr>
        <w:t> :</w:t>
      </w:r>
      <w:r w:rsidRPr="00796A0D">
        <w:rPr>
          <w:rFonts w:ascii="Arial" w:hAnsi="Arial" w:cs="Arial"/>
          <w:bCs/>
        </w:rPr>
        <w:t xml:space="preserve"> </w:t>
      </w:r>
    </w:p>
    <w:p w:rsidR="00001CD2" w:rsidRPr="00796A0D" w:rsidRDefault="00001CD2" w:rsidP="00C92C89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</w:p>
    <w:p w:rsidR="002D142E" w:rsidRPr="00796A0D" w:rsidRDefault="00C92C89" w:rsidP="00C92C89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  <w:r w:rsidRPr="00796A0D">
        <w:rPr>
          <w:rFonts w:ascii="Arial" w:hAnsi="Arial" w:cs="Arial"/>
          <w:bCs/>
        </w:rPr>
        <w:t xml:space="preserve">Durant </w:t>
      </w:r>
      <w:r w:rsidRPr="00796A0D">
        <w:rPr>
          <w:rFonts w:ascii="Arial" w:hAnsi="Arial" w:cs="Arial"/>
          <w:bCs/>
          <w:highlight w:val="yellow"/>
        </w:rPr>
        <w:t>cette</w:t>
      </w:r>
      <w:r w:rsidR="00001CD2" w:rsidRPr="00796A0D">
        <w:rPr>
          <w:rFonts w:ascii="Arial" w:hAnsi="Arial" w:cs="Arial"/>
          <w:bCs/>
          <w:highlight w:val="yellow"/>
        </w:rPr>
        <w:t>/ces</w:t>
      </w:r>
      <w:r w:rsidRPr="00796A0D">
        <w:rPr>
          <w:rFonts w:ascii="Arial" w:hAnsi="Arial" w:cs="Arial"/>
          <w:bCs/>
        </w:rPr>
        <w:t xml:space="preserve"> période</w:t>
      </w:r>
      <w:r w:rsidR="00001CD2" w:rsidRPr="00796A0D">
        <w:rPr>
          <w:rFonts w:ascii="Arial" w:hAnsi="Arial" w:cs="Arial"/>
          <w:bCs/>
          <w:highlight w:val="yellow"/>
        </w:rPr>
        <w:t>s</w:t>
      </w:r>
      <w:r w:rsidRPr="00796A0D">
        <w:rPr>
          <w:rFonts w:ascii="Arial" w:hAnsi="Arial" w:cs="Arial"/>
          <w:bCs/>
        </w:rPr>
        <w:t xml:space="preserve">, </w:t>
      </w:r>
      <w:r w:rsidR="00001CD2" w:rsidRPr="00796A0D">
        <w:rPr>
          <w:rFonts w:ascii="Arial" w:hAnsi="Arial" w:cs="Arial"/>
          <w:highlight w:val="yellow"/>
        </w:rPr>
        <w:t>Madame (ou Monsieur) ...</w:t>
      </w:r>
      <w:r w:rsidR="00001CD2" w:rsidRPr="00796A0D">
        <w:rPr>
          <w:rFonts w:ascii="Arial" w:hAnsi="Arial" w:cs="Arial"/>
        </w:rPr>
        <w:t xml:space="preserve"> </w:t>
      </w:r>
      <w:r w:rsidRPr="00796A0D">
        <w:rPr>
          <w:rFonts w:ascii="Arial" w:hAnsi="Arial" w:cs="Arial"/>
          <w:bCs/>
        </w:rPr>
        <w:t>devra se soumettre aux contrôles médicaux, sous peine d’interruption de sa rémunération.</w:t>
      </w:r>
    </w:p>
    <w:p w:rsidR="00F00C66" w:rsidRPr="00796A0D" w:rsidRDefault="00F00C66" w:rsidP="00C92C89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</w:p>
    <w:p w:rsidR="00C92C89" w:rsidRPr="00796A0D" w:rsidRDefault="00F00C66" w:rsidP="00C92C89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  <w:r w:rsidRPr="00796A0D">
        <w:rPr>
          <w:rFonts w:ascii="Arial" w:hAnsi="Arial" w:cs="Arial"/>
          <w:bCs/>
        </w:rPr>
        <w:t>L’intéressé devra transmettre le certificat médical de prolongation dans un délai maximum de 48</w:t>
      </w:r>
      <w:r w:rsidR="00001CD2" w:rsidRPr="00796A0D">
        <w:rPr>
          <w:rFonts w:ascii="Arial" w:hAnsi="Arial" w:cs="Arial"/>
          <w:bCs/>
        </w:rPr>
        <w:t xml:space="preserve"> heures</w:t>
      </w:r>
      <w:r w:rsidRPr="00796A0D">
        <w:rPr>
          <w:rFonts w:ascii="Arial" w:hAnsi="Arial" w:cs="Arial"/>
          <w:bCs/>
        </w:rPr>
        <w:t xml:space="preserve"> à compter du </w:t>
      </w:r>
      <w:r w:rsidR="00001CD2" w:rsidRPr="00796A0D">
        <w:rPr>
          <w:rFonts w:ascii="Arial" w:hAnsi="Arial" w:cs="Arial"/>
          <w:bCs/>
        </w:rPr>
        <w:t>premier</w:t>
      </w:r>
      <w:r w:rsidRPr="00796A0D">
        <w:rPr>
          <w:rFonts w:ascii="Arial" w:hAnsi="Arial" w:cs="Arial"/>
          <w:bCs/>
        </w:rPr>
        <w:t xml:space="preserve"> jour de la prolongation.</w:t>
      </w:r>
    </w:p>
    <w:p w:rsidR="00C92C89" w:rsidRPr="00796A0D" w:rsidRDefault="00C92C89" w:rsidP="00C92C89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  <w:color w:val="000000" w:themeColor="text1"/>
          <w:u w:val="single"/>
        </w:rPr>
      </w:pPr>
    </w:p>
    <w:p w:rsidR="00001CD2" w:rsidRPr="00796A0D" w:rsidRDefault="00372951" w:rsidP="002D142E">
      <w:pPr>
        <w:jc w:val="both"/>
        <w:rPr>
          <w:rFonts w:cs="Arial"/>
          <w:bCs/>
          <w:sz w:val="20"/>
          <w:szCs w:val="20"/>
        </w:rPr>
      </w:pPr>
      <w:r w:rsidRPr="00796A0D">
        <w:rPr>
          <w:rFonts w:cs="Arial"/>
          <w:b/>
          <w:sz w:val="20"/>
          <w:szCs w:val="20"/>
          <w:u w:val="single"/>
        </w:rPr>
        <w:t xml:space="preserve">Article </w:t>
      </w:r>
      <w:r w:rsidR="008907A3" w:rsidRPr="00796A0D">
        <w:rPr>
          <w:rFonts w:cs="Arial"/>
          <w:b/>
          <w:sz w:val="20"/>
          <w:szCs w:val="20"/>
          <w:u w:val="single"/>
        </w:rPr>
        <w:t>4</w:t>
      </w:r>
      <w:r w:rsidRPr="00796A0D">
        <w:rPr>
          <w:rFonts w:cs="Arial"/>
          <w:b/>
          <w:sz w:val="20"/>
          <w:szCs w:val="20"/>
        </w:rPr>
        <w:t> :</w:t>
      </w:r>
      <w:r w:rsidRPr="00796A0D">
        <w:rPr>
          <w:rFonts w:cs="Arial"/>
          <w:bCs/>
          <w:sz w:val="20"/>
          <w:szCs w:val="20"/>
        </w:rPr>
        <w:t xml:space="preserve"> </w:t>
      </w:r>
    </w:p>
    <w:p w:rsidR="00001CD2" w:rsidRPr="00796A0D" w:rsidRDefault="00001CD2" w:rsidP="002D142E">
      <w:pPr>
        <w:jc w:val="both"/>
        <w:rPr>
          <w:rFonts w:cs="Arial"/>
          <w:bCs/>
          <w:sz w:val="20"/>
          <w:szCs w:val="20"/>
        </w:rPr>
      </w:pPr>
    </w:p>
    <w:p w:rsidR="002D142E" w:rsidRPr="00796A0D" w:rsidRDefault="002D142E" w:rsidP="002D142E">
      <w:pPr>
        <w:jc w:val="both"/>
        <w:rPr>
          <w:rFonts w:cs="Arial"/>
          <w:bCs/>
          <w:sz w:val="20"/>
          <w:szCs w:val="20"/>
        </w:rPr>
      </w:pPr>
      <w:r w:rsidRPr="00796A0D">
        <w:rPr>
          <w:rFonts w:cs="Arial"/>
          <w:bCs/>
          <w:sz w:val="20"/>
          <w:szCs w:val="20"/>
        </w:rPr>
        <w:t>Le présent arrêté sera :</w:t>
      </w:r>
    </w:p>
    <w:p w:rsidR="002D142E" w:rsidRPr="00796A0D" w:rsidRDefault="002D142E" w:rsidP="00001CD2">
      <w:pPr>
        <w:pStyle w:val="Paragraphedeliste"/>
        <w:numPr>
          <w:ilvl w:val="0"/>
          <w:numId w:val="27"/>
        </w:numPr>
        <w:rPr>
          <w:rFonts w:cs="Arial"/>
          <w:bCs/>
          <w:sz w:val="20"/>
          <w:szCs w:val="20"/>
        </w:rPr>
      </w:pPr>
      <w:r w:rsidRPr="00796A0D">
        <w:rPr>
          <w:rFonts w:cs="Arial"/>
          <w:bCs/>
          <w:sz w:val="20"/>
          <w:szCs w:val="20"/>
        </w:rPr>
        <w:t>Notifié à l'intéressé</w:t>
      </w:r>
      <w:r w:rsidR="00001CD2" w:rsidRPr="00796A0D">
        <w:rPr>
          <w:rFonts w:cs="Arial"/>
          <w:bCs/>
          <w:sz w:val="20"/>
          <w:szCs w:val="20"/>
        </w:rPr>
        <w:t> ;</w:t>
      </w:r>
    </w:p>
    <w:p w:rsidR="002D142E" w:rsidRPr="00796A0D" w:rsidRDefault="002D142E" w:rsidP="00001CD2">
      <w:pPr>
        <w:pStyle w:val="Paragraphedeliste"/>
        <w:numPr>
          <w:ilvl w:val="0"/>
          <w:numId w:val="27"/>
        </w:numPr>
        <w:rPr>
          <w:rFonts w:cs="Arial"/>
          <w:bCs/>
          <w:sz w:val="20"/>
          <w:szCs w:val="20"/>
        </w:rPr>
      </w:pPr>
      <w:r w:rsidRPr="00796A0D">
        <w:rPr>
          <w:rFonts w:cs="Arial"/>
          <w:bCs/>
          <w:sz w:val="20"/>
          <w:szCs w:val="20"/>
        </w:rPr>
        <w:t>Transmis au comptable de la collectivité</w:t>
      </w:r>
      <w:r w:rsidR="00001CD2" w:rsidRPr="00796A0D">
        <w:rPr>
          <w:rFonts w:cs="Arial"/>
          <w:bCs/>
          <w:sz w:val="20"/>
          <w:szCs w:val="20"/>
        </w:rPr>
        <w:t> ;</w:t>
      </w:r>
    </w:p>
    <w:p w:rsidR="002D142E" w:rsidRPr="00796A0D" w:rsidRDefault="002D142E" w:rsidP="00001CD2">
      <w:pPr>
        <w:pStyle w:val="Paragraphedeliste"/>
        <w:numPr>
          <w:ilvl w:val="0"/>
          <w:numId w:val="27"/>
        </w:numPr>
        <w:rPr>
          <w:rFonts w:cs="Arial"/>
          <w:bCs/>
          <w:sz w:val="20"/>
          <w:szCs w:val="20"/>
        </w:rPr>
      </w:pPr>
      <w:r w:rsidRPr="00796A0D">
        <w:rPr>
          <w:rFonts w:cs="Arial"/>
          <w:bCs/>
          <w:sz w:val="20"/>
          <w:szCs w:val="20"/>
        </w:rPr>
        <w:t xml:space="preserve">Transmis au </w:t>
      </w:r>
      <w:r w:rsidR="00001CD2" w:rsidRPr="00796A0D">
        <w:rPr>
          <w:rFonts w:cs="Arial"/>
          <w:bCs/>
          <w:sz w:val="20"/>
          <w:szCs w:val="20"/>
        </w:rPr>
        <w:t>p</w:t>
      </w:r>
      <w:r w:rsidRPr="00796A0D">
        <w:rPr>
          <w:rFonts w:cs="Arial"/>
          <w:bCs/>
          <w:sz w:val="20"/>
          <w:szCs w:val="20"/>
        </w:rPr>
        <w:t xml:space="preserve">résident du </w:t>
      </w:r>
      <w:r w:rsidR="00001CD2" w:rsidRPr="00796A0D">
        <w:rPr>
          <w:rFonts w:cs="Arial"/>
          <w:bCs/>
          <w:sz w:val="20"/>
          <w:szCs w:val="20"/>
        </w:rPr>
        <w:t>c</w:t>
      </w:r>
      <w:r w:rsidRPr="00796A0D">
        <w:rPr>
          <w:rFonts w:cs="Arial"/>
          <w:bCs/>
          <w:sz w:val="20"/>
          <w:szCs w:val="20"/>
        </w:rPr>
        <w:t xml:space="preserve">entre de </w:t>
      </w:r>
      <w:r w:rsidR="00001CD2" w:rsidRPr="00796A0D">
        <w:rPr>
          <w:rFonts w:cs="Arial"/>
          <w:bCs/>
          <w:sz w:val="20"/>
          <w:szCs w:val="20"/>
        </w:rPr>
        <w:t>g</w:t>
      </w:r>
      <w:r w:rsidRPr="00796A0D">
        <w:rPr>
          <w:rFonts w:cs="Arial"/>
          <w:bCs/>
          <w:sz w:val="20"/>
          <w:szCs w:val="20"/>
        </w:rPr>
        <w:t>estion</w:t>
      </w:r>
    </w:p>
    <w:p w:rsidR="00F36090" w:rsidRPr="00796A0D" w:rsidRDefault="00F36090" w:rsidP="00D219D8">
      <w:pPr>
        <w:rPr>
          <w:rFonts w:cs="Arial"/>
          <w:sz w:val="20"/>
          <w:szCs w:val="20"/>
        </w:rPr>
      </w:pPr>
    </w:p>
    <w:p w:rsidR="00F36090" w:rsidRPr="00796A0D" w:rsidRDefault="00F36090" w:rsidP="00D219D8">
      <w:pPr>
        <w:rPr>
          <w:rFonts w:cs="Arial"/>
          <w:sz w:val="20"/>
          <w:szCs w:val="20"/>
        </w:rPr>
      </w:pPr>
    </w:p>
    <w:p w:rsidR="00D219D8" w:rsidRPr="00796A0D" w:rsidRDefault="00D219D8" w:rsidP="00796A0D">
      <w:pPr>
        <w:jc w:val="right"/>
        <w:rPr>
          <w:rFonts w:cs="Arial"/>
          <w:sz w:val="20"/>
          <w:szCs w:val="20"/>
        </w:rPr>
      </w:pPr>
      <w:r w:rsidRPr="00796A0D">
        <w:rPr>
          <w:rFonts w:cs="Arial"/>
          <w:sz w:val="20"/>
          <w:szCs w:val="20"/>
        </w:rPr>
        <w:t xml:space="preserve">Fait à </w:t>
      </w:r>
      <w:r w:rsidR="00001CD2" w:rsidRPr="00796A0D">
        <w:rPr>
          <w:rFonts w:cs="Arial"/>
          <w:sz w:val="20"/>
          <w:szCs w:val="20"/>
          <w:highlight w:val="yellow"/>
        </w:rPr>
        <w:t>…</w:t>
      </w:r>
      <w:r w:rsidRPr="00796A0D">
        <w:rPr>
          <w:rFonts w:cs="Arial"/>
          <w:sz w:val="20"/>
          <w:szCs w:val="20"/>
        </w:rPr>
        <w:t xml:space="preserve"> le </w:t>
      </w:r>
      <w:r w:rsidR="00001CD2" w:rsidRPr="00796A0D">
        <w:rPr>
          <w:rFonts w:cs="Arial"/>
          <w:sz w:val="20"/>
          <w:szCs w:val="20"/>
          <w:highlight w:val="yellow"/>
        </w:rPr>
        <w:t>…</w:t>
      </w:r>
    </w:p>
    <w:p w:rsidR="00D219D8" w:rsidRPr="00796A0D" w:rsidRDefault="00D219D8" w:rsidP="00796A0D">
      <w:pPr>
        <w:jc w:val="right"/>
        <w:rPr>
          <w:rFonts w:cs="Arial"/>
          <w:sz w:val="20"/>
          <w:szCs w:val="20"/>
        </w:rPr>
      </w:pPr>
      <w:r w:rsidRPr="00796A0D">
        <w:rPr>
          <w:rFonts w:cs="Arial"/>
          <w:sz w:val="20"/>
          <w:szCs w:val="20"/>
        </w:rPr>
        <w:tab/>
      </w:r>
      <w:r w:rsidRPr="00796A0D">
        <w:rPr>
          <w:rFonts w:cs="Arial"/>
          <w:sz w:val="20"/>
          <w:szCs w:val="20"/>
        </w:rPr>
        <w:tab/>
      </w:r>
      <w:r w:rsidRPr="00796A0D">
        <w:rPr>
          <w:rFonts w:cs="Arial"/>
          <w:sz w:val="20"/>
          <w:szCs w:val="20"/>
        </w:rPr>
        <w:tab/>
      </w:r>
      <w:r w:rsidRPr="00796A0D">
        <w:rPr>
          <w:rFonts w:cs="Arial"/>
          <w:sz w:val="20"/>
          <w:szCs w:val="20"/>
        </w:rPr>
        <w:tab/>
      </w:r>
      <w:r w:rsidRPr="00796A0D">
        <w:rPr>
          <w:rFonts w:cs="Arial"/>
          <w:sz w:val="20"/>
          <w:szCs w:val="20"/>
        </w:rPr>
        <w:tab/>
      </w:r>
      <w:r w:rsidRPr="00796A0D">
        <w:rPr>
          <w:rFonts w:cs="Arial"/>
          <w:sz w:val="20"/>
          <w:szCs w:val="20"/>
        </w:rPr>
        <w:tab/>
      </w:r>
      <w:r w:rsidRPr="00796A0D">
        <w:rPr>
          <w:rFonts w:cs="Arial"/>
          <w:sz w:val="20"/>
          <w:szCs w:val="20"/>
        </w:rPr>
        <w:tab/>
      </w:r>
      <w:r w:rsidRPr="00796A0D">
        <w:rPr>
          <w:rFonts w:cs="Arial"/>
          <w:sz w:val="20"/>
          <w:szCs w:val="20"/>
        </w:rPr>
        <w:tab/>
        <w:t xml:space="preserve">       Le </w:t>
      </w:r>
      <w:r w:rsidRPr="00796A0D">
        <w:rPr>
          <w:rFonts w:cs="Arial"/>
          <w:sz w:val="20"/>
          <w:szCs w:val="20"/>
          <w:highlight w:val="yellow"/>
        </w:rPr>
        <w:t xml:space="preserve">Maire </w:t>
      </w:r>
      <w:r w:rsidRPr="00796A0D">
        <w:rPr>
          <w:rFonts w:cs="Arial"/>
          <w:i/>
          <w:sz w:val="20"/>
          <w:szCs w:val="20"/>
          <w:highlight w:val="yellow"/>
        </w:rPr>
        <w:t>(ou le Président)</w:t>
      </w:r>
    </w:p>
    <w:p w:rsidR="00D219D8" w:rsidRPr="00796A0D" w:rsidRDefault="00D219D8" w:rsidP="00D219D8">
      <w:pPr>
        <w:rPr>
          <w:rFonts w:cs="Arial"/>
          <w:sz w:val="20"/>
          <w:szCs w:val="20"/>
        </w:rPr>
      </w:pPr>
    </w:p>
    <w:p w:rsidR="00F13788" w:rsidRPr="00796A0D" w:rsidRDefault="00F13788" w:rsidP="00F13788">
      <w:pPr>
        <w:jc w:val="both"/>
        <w:rPr>
          <w:rFonts w:cs="Arial"/>
          <w:sz w:val="16"/>
          <w:szCs w:val="16"/>
        </w:rPr>
      </w:pPr>
    </w:p>
    <w:p w:rsidR="00F13788" w:rsidRPr="00796A0D" w:rsidRDefault="00F13788" w:rsidP="00F13788">
      <w:pPr>
        <w:jc w:val="both"/>
        <w:rPr>
          <w:rFonts w:cs="Arial"/>
          <w:sz w:val="20"/>
          <w:szCs w:val="20"/>
        </w:rPr>
      </w:pPr>
      <w:r w:rsidRPr="00796A0D">
        <w:rPr>
          <w:rFonts w:cs="Arial"/>
          <w:sz w:val="20"/>
          <w:szCs w:val="20"/>
        </w:rPr>
        <w:t>Notifié à l'intéressé</w:t>
      </w:r>
      <w:r w:rsidRPr="00796A0D">
        <w:rPr>
          <w:rFonts w:cs="Arial"/>
          <w:sz w:val="20"/>
          <w:szCs w:val="20"/>
          <w:highlight w:val="yellow"/>
        </w:rPr>
        <w:t>e</w:t>
      </w:r>
      <w:r w:rsidRPr="00796A0D">
        <w:rPr>
          <w:rFonts w:cs="Arial"/>
          <w:sz w:val="20"/>
          <w:szCs w:val="20"/>
        </w:rPr>
        <w:t xml:space="preserve"> le </w:t>
      </w:r>
      <w:r w:rsidR="00001CD2" w:rsidRPr="00796A0D">
        <w:rPr>
          <w:rFonts w:cs="Arial"/>
          <w:sz w:val="20"/>
          <w:szCs w:val="20"/>
          <w:highlight w:val="yellow"/>
        </w:rPr>
        <w:t>…</w:t>
      </w:r>
    </w:p>
    <w:p w:rsidR="00F13788" w:rsidRPr="00796A0D" w:rsidRDefault="00F13788" w:rsidP="00F13788">
      <w:pPr>
        <w:jc w:val="both"/>
        <w:rPr>
          <w:rFonts w:cs="Arial"/>
          <w:sz w:val="20"/>
          <w:szCs w:val="20"/>
        </w:rPr>
      </w:pPr>
    </w:p>
    <w:p w:rsidR="00F13788" w:rsidRPr="00796A0D" w:rsidRDefault="00F13788" w:rsidP="00F13788">
      <w:pPr>
        <w:jc w:val="both"/>
        <w:rPr>
          <w:rFonts w:cs="Arial"/>
          <w:sz w:val="20"/>
          <w:szCs w:val="20"/>
        </w:rPr>
      </w:pPr>
      <w:r w:rsidRPr="00796A0D">
        <w:rPr>
          <w:rFonts w:cs="Arial"/>
          <w:noProof/>
        </w:rPr>
        <w:drawing>
          <wp:anchor distT="0" distB="0" distL="114300" distR="114300" simplePos="0" relativeHeight="251663360" behindDoc="1" locked="0" layoutInCell="1" allowOverlap="1" wp14:anchorId="31B4898E" wp14:editId="760DE838">
            <wp:simplePos x="0" y="0"/>
            <wp:positionH relativeFrom="page">
              <wp:posOffset>314325</wp:posOffset>
            </wp:positionH>
            <wp:positionV relativeFrom="page">
              <wp:posOffset>9577705</wp:posOffset>
            </wp:positionV>
            <wp:extent cx="1097915" cy="852805"/>
            <wp:effectExtent l="0" t="0" r="6985" b="4445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915" cy="852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96A0D">
        <w:rPr>
          <w:rFonts w:cs="Arial"/>
          <w:sz w:val="20"/>
          <w:szCs w:val="20"/>
        </w:rPr>
        <w:t>Signature de l'</w:t>
      </w:r>
      <w:r w:rsidR="00001CD2" w:rsidRPr="00796A0D">
        <w:rPr>
          <w:rFonts w:cs="Arial"/>
          <w:sz w:val="20"/>
          <w:szCs w:val="20"/>
        </w:rPr>
        <w:t>a</w:t>
      </w:r>
      <w:r w:rsidRPr="00796A0D">
        <w:rPr>
          <w:rFonts w:cs="Arial"/>
          <w:sz w:val="20"/>
          <w:szCs w:val="20"/>
        </w:rPr>
        <w:t>gent,</w:t>
      </w:r>
    </w:p>
    <w:p w:rsidR="00D219D8" w:rsidRDefault="00D219D8" w:rsidP="00D219D8">
      <w:pPr>
        <w:rPr>
          <w:rFonts w:cs="Arial"/>
        </w:rPr>
      </w:pPr>
    </w:p>
    <w:p w:rsidR="00796A0D" w:rsidRDefault="00796A0D" w:rsidP="00D219D8">
      <w:pPr>
        <w:rPr>
          <w:rFonts w:cs="Arial"/>
        </w:rPr>
      </w:pPr>
    </w:p>
    <w:p w:rsidR="00796A0D" w:rsidRPr="00796A0D" w:rsidRDefault="00796A0D" w:rsidP="00796A0D">
      <w:pPr>
        <w:jc w:val="both"/>
        <w:rPr>
          <w:rFonts w:cs="Arial"/>
          <w:i/>
          <w:iCs/>
          <w:sz w:val="14"/>
          <w:szCs w:val="14"/>
        </w:rPr>
      </w:pPr>
      <w:r w:rsidRPr="00796A0D">
        <w:rPr>
          <w:rFonts w:cs="Arial"/>
          <w:i/>
          <w:iCs/>
          <w:sz w:val="14"/>
          <w:szCs w:val="14"/>
        </w:rPr>
        <w:t xml:space="preserve">Le </w:t>
      </w:r>
      <w:r w:rsidRPr="00796A0D">
        <w:rPr>
          <w:rFonts w:cs="Arial"/>
          <w:i/>
          <w:iCs/>
          <w:sz w:val="14"/>
          <w:szCs w:val="14"/>
          <w:highlight w:val="yellow"/>
        </w:rPr>
        <w:t>Maire (ou le Président),</w:t>
      </w:r>
      <w:r w:rsidRPr="00796A0D">
        <w:rPr>
          <w:rFonts w:cs="Arial"/>
          <w:i/>
          <w:iCs/>
          <w:sz w:val="14"/>
          <w:szCs w:val="14"/>
        </w:rPr>
        <w:t xml:space="preserve"> informe que le présent arrêté peut faire l'objet d'un recours pour excès de pouvoir devant le tribunal administratif de Toulouse dans un délai de 2 mois à compter de cette notification. Le tribunal administratif peut être saisi par l'application Télérecours citoyen sur le site </w:t>
      </w:r>
      <w:hyperlink r:id="rId8" w:history="1">
        <w:r w:rsidRPr="00796A0D">
          <w:rPr>
            <w:rStyle w:val="Lienhypertexte"/>
            <w:rFonts w:cs="Arial"/>
            <w:i/>
            <w:iCs/>
            <w:sz w:val="14"/>
            <w:szCs w:val="14"/>
          </w:rPr>
          <w:t>https://www.telerecours.fr</w:t>
        </w:r>
      </w:hyperlink>
    </w:p>
    <w:sectPr w:rsidR="00796A0D" w:rsidRPr="00796A0D" w:rsidSect="00AC0E68">
      <w:headerReference w:type="default" r:id="rId9"/>
      <w:headerReference w:type="first" r:id="rId10"/>
      <w:footerReference w:type="first" r:id="rId11"/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1379D" w:rsidRDefault="00A1379D" w:rsidP="00835CB6">
      <w:r>
        <w:separator/>
      </w:r>
    </w:p>
  </w:endnote>
  <w:endnote w:type="continuationSeparator" w:id="0">
    <w:p w:rsidR="00A1379D" w:rsidRDefault="00A1379D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E5077" w:rsidRDefault="00A36A4E">
    <w:pPr>
      <w:pStyle w:val="Pieddepage"/>
    </w:pPr>
    <w:r>
      <w:rPr>
        <w:noProof/>
      </w:rPr>
      <w:drawing>
        <wp:anchor distT="0" distB="0" distL="114300" distR="114300" simplePos="0" relativeHeight="251678720" behindDoc="0" locked="0" layoutInCell="0" allowOverlap="0" wp14:anchorId="7751B529" wp14:editId="149FEF64">
          <wp:simplePos x="0" y="0"/>
          <wp:positionH relativeFrom="page">
            <wp:posOffset>5287645</wp:posOffset>
          </wp:positionH>
          <wp:positionV relativeFrom="page">
            <wp:posOffset>9603105</wp:posOffset>
          </wp:positionV>
          <wp:extent cx="1936750" cy="835025"/>
          <wp:effectExtent l="0" t="0" r="6350" b="3175"/>
          <wp:wrapNone/>
          <wp:docPr id="4" name="Image 4" descr="C:\Documents and Settings\Pauline\Bureau\Charte graphique sauvergarde yann\CDG-PapierEntete-adress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3" descr="C:\Documents and Settings\Pauline\Bureau\Charte graphique sauvergarde yann\CDG-PapierEntete-adress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043" t="17741" r="10918" b="19354"/>
                  <a:stretch>
                    <a:fillRect/>
                  </a:stretch>
                </pic:blipFill>
                <pic:spPr bwMode="auto">
                  <a:xfrm>
                    <a:off x="0" y="0"/>
                    <a:ext cx="1936750" cy="835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C5794">
      <w:rPr>
        <w:noProof/>
      </w:rPr>
      <w:drawing>
        <wp:anchor distT="0" distB="0" distL="114300" distR="114300" simplePos="0" relativeHeight="251674624" behindDoc="1" locked="0" layoutInCell="1" allowOverlap="1" wp14:anchorId="56AF8ECB" wp14:editId="2805D5D1">
          <wp:simplePos x="0" y="0"/>
          <wp:positionH relativeFrom="page">
            <wp:posOffset>161925</wp:posOffset>
          </wp:positionH>
          <wp:positionV relativeFrom="page">
            <wp:posOffset>9688830</wp:posOffset>
          </wp:positionV>
          <wp:extent cx="1098000" cy="853200"/>
          <wp:effectExtent l="0" t="0" r="6985" b="4445"/>
          <wp:wrapNone/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8000" cy="853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1379D" w:rsidRDefault="00A1379D" w:rsidP="00835CB6">
      <w:r>
        <w:separator/>
      </w:r>
    </w:p>
  </w:footnote>
  <w:footnote w:type="continuationSeparator" w:id="0">
    <w:p w:rsidR="00A1379D" w:rsidRDefault="00A1379D" w:rsidP="00835C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24CCD" w:rsidRDefault="00CB632A" w:rsidP="00835CB6">
    <w:pPr>
      <w:pStyle w:val="En-tte"/>
    </w:pPr>
    <w:r>
      <w:rPr>
        <w:noProof/>
      </w:rPr>
      <w:drawing>
        <wp:anchor distT="0" distB="0" distL="114300" distR="114300" simplePos="0" relativeHeight="251667456" behindDoc="1" locked="0" layoutInCell="1" allowOverlap="1" wp14:anchorId="5D0A36D0" wp14:editId="6BE5BB4D">
          <wp:simplePos x="0" y="0"/>
          <wp:positionH relativeFrom="page">
            <wp:posOffset>6840855</wp:posOffset>
          </wp:positionH>
          <wp:positionV relativeFrom="page">
            <wp:posOffset>252095</wp:posOffset>
          </wp:positionV>
          <wp:extent cx="360000" cy="396000"/>
          <wp:effectExtent l="0" t="0" r="2540" b="4445"/>
          <wp:wrapThrough wrapText="bothSides">
            <wp:wrapPolygon edited="0">
              <wp:start x="2290" y="0"/>
              <wp:lineTo x="0" y="3120"/>
              <wp:lineTo x="0" y="18722"/>
              <wp:lineTo x="8014" y="20803"/>
              <wp:lineTo x="18318" y="20803"/>
              <wp:lineTo x="20608" y="17682"/>
              <wp:lineTo x="20608" y="1040"/>
              <wp:lineTo x="12594" y="0"/>
              <wp:lineTo x="2290" y="0"/>
            </wp:wrapPolygon>
          </wp:wrapThrough>
          <wp:docPr id="1" name="Image 1" descr="C:\Documents and Settings\Pauline\Bureau\Doc charte unsens\4barr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C:\Documents and Settings\Pauline\Bureau\Doc charte unsens\4barres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GlowEdges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0000" cy="39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36A4E" w:rsidRDefault="00A36A4E">
    <w:pPr>
      <w:pStyle w:val="En-tte"/>
    </w:pPr>
    <w:r>
      <w:rPr>
        <w:noProof/>
      </w:rPr>
      <w:drawing>
        <wp:anchor distT="0" distB="0" distL="114300" distR="114300" simplePos="0" relativeHeight="251676672" behindDoc="0" locked="0" layoutInCell="0" allowOverlap="0" wp14:anchorId="674F6ED5" wp14:editId="6D5BD6F0">
          <wp:simplePos x="0" y="0"/>
          <wp:positionH relativeFrom="page">
            <wp:posOffset>159385</wp:posOffset>
          </wp:positionH>
          <wp:positionV relativeFrom="page">
            <wp:posOffset>154305</wp:posOffset>
          </wp:positionV>
          <wp:extent cx="1756800" cy="788400"/>
          <wp:effectExtent l="0" t="0" r="0" b="0"/>
          <wp:wrapNone/>
          <wp:docPr id="2" name="Image 1" descr="C:\Documents and Settings\Pauline\Bureau\Charte graphique sauvergarde yann\CDG-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 descr="C:\Documents and Settings\Pauline\Bureau\Charte graphique sauvergarde yann\CDG-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996" t="21629" r="6996" b="16188"/>
                  <a:stretch>
                    <a:fillRect/>
                  </a:stretch>
                </pic:blipFill>
                <pic:spPr bwMode="auto">
                  <a:xfrm>
                    <a:off x="0" y="0"/>
                    <a:ext cx="1756800" cy="788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730978A6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 183188305" o:spid="_x0000_i1025" type="#_x0000_t75" style="width:9pt;height:9pt;visibility:visible;mso-wrap-style:square">
            <v:imagedata r:id="rId1" o:title=""/>
          </v:shape>
        </w:pict>
      </mc:Choice>
      <mc:Fallback>
        <w:drawing>
          <wp:inline distT="0" distB="0" distL="0" distR="0" wp14:anchorId="2B0B114D">
            <wp:extent cx="114300" cy="114300"/>
            <wp:effectExtent l="0" t="0" r="0" b="0"/>
            <wp:docPr id="183188305" name="Image 183188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3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numPicBullet w:numPicBulletId="1">
    <mc:AlternateContent>
      <mc:Choice Requires="v">
        <w:pict>
          <v:shape w14:anchorId="50494AB1" id="Image 1476738832" o:spid="_x0000_i1025" type="#_x0000_t75" style="width:41.25pt;height:42pt;visibility:visible;mso-wrap-style:square">
            <v:imagedata r:id="rId3" o:title=""/>
          </v:shape>
        </w:pict>
      </mc:Choice>
      <mc:Fallback>
        <w:drawing>
          <wp:inline distT="0" distB="0" distL="0" distR="0" wp14:anchorId="121D3181">
            <wp:extent cx="523875" cy="533400"/>
            <wp:effectExtent l="0" t="0" r="0" b="0"/>
            <wp:docPr id="1476738832" name="Image 14767388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E0380E"/>
    <w:multiLevelType w:val="hybridMultilevel"/>
    <w:tmpl w:val="C33A29A4"/>
    <w:lvl w:ilvl="0" w:tplc="ADB2009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EB1D05"/>
    <w:multiLevelType w:val="hybridMultilevel"/>
    <w:tmpl w:val="989ACB82"/>
    <w:lvl w:ilvl="0" w:tplc="0FACA0D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2B7291"/>
    <w:multiLevelType w:val="hybridMultilevel"/>
    <w:tmpl w:val="EA903370"/>
    <w:lvl w:ilvl="0" w:tplc="ADB2009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BF5640"/>
    <w:multiLevelType w:val="hybridMultilevel"/>
    <w:tmpl w:val="5CC45790"/>
    <w:lvl w:ilvl="0" w:tplc="ADB2009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41F32FF"/>
    <w:multiLevelType w:val="hybridMultilevel"/>
    <w:tmpl w:val="443C433C"/>
    <w:lvl w:ilvl="0" w:tplc="53CE92DC">
      <w:start w:val="4"/>
      <w:numFmt w:val="bullet"/>
      <w:lvlText w:val="-"/>
      <w:lvlJc w:val="left"/>
      <w:pPr>
        <w:ind w:left="2138" w:hanging="360"/>
      </w:pPr>
      <w:rPr>
        <w:rFonts w:ascii="Trebuchet MS" w:eastAsiaTheme="minorHAnsi" w:hAnsi="Trebuchet MS" w:cs="Trebuchet MS" w:hint="default"/>
      </w:rPr>
    </w:lvl>
    <w:lvl w:ilvl="1" w:tplc="040C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2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91407652">
    <w:abstractNumId w:val="0"/>
  </w:num>
  <w:num w:numId="2" w16cid:durableId="1818186317">
    <w:abstractNumId w:val="12"/>
  </w:num>
  <w:num w:numId="3" w16cid:durableId="1973905230">
    <w:abstractNumId w:val="20"/>
  </w:num>
  <w:num w:numId="4" w16cid:durableId="1269855059">
    <w:abstractNumId w:val="16"/>
  </w:num>
  <w:num w:numId="5" w16cid:durableId="1695379464">
    <w:abstractNumId w:val="14"/>
  </w:num>
  <w:num w:numId="6" w16cid:durableId="1289118364">
    <w:abstractNumId w:val="11"/>
  </w:num>
  <w:num w:numId="7" w16cid:durableId="1769083974">
    <w:abstractNumId w:val="17"/>
  </w:num>
  <w:num w:numId="8" w16cid:durableId="286358203">
    <w:abstractNumId w:val="24"/>
  </w:num>
  <w:num w:numId="9" w16cid:durableId="1176844160">
    <w:abstractNumId w:val="23"/>
  </w:num>
  <w:num w:numId="10" w16cid:durableId="2042052129">
    <w:abstractNumId w:val="7"/>
  </w:num>
  <w:num w:numId="11" w16cid:durableId="1283801645">
    <w:abstractNumId w:val="1"/>
  </w:num>
  <w:num w:numId="12" w16cid:durableId="390664277">
    <w:abstractNumId w:val="4"/>
  </w:num>
  <w:num w:numId="13" w16cid:durableId="1105466839">
    <w:abstractNumId w:val="6"/>
  </w:num>
  <w:num w:numId="14" w16cid:durableId="844133516">
    <w:abstractNumId w:val="8"/>
  </w:num>
  <w:num w:numId="15" w16cid:durableId="969020499">
    <w:abstractNumId w:val="2"/>
  </w:num>
  <w:num w:numId="16" w16cid:durableId="1303776274">
    <w:abstractNumId w:val="5"/>
  </w:num>
  <w:num w:numId="17" w16cid:durableId="981811205">
    <w:abstractNumId w:val="22"/>
  </w:num>
  <w:num w:numId="18" w16cid:durableId="2109545615">
    <w:abstractNumId w:val="13"/>
  </w:num>
  <w:num w:numId="19" w16cid:durableId="1705713714">
    <w:abstractNumId w:val="3"/>
  </w:num>
  <w:num w:numId="20" w16cid:durableId="634457450">
    <w:abstractNumId w:val="10"/>
  </w:num>
  <w:num w:numId="21" w16cid:durableId="709106395">
    <w:abstractNumId w:val="10"/>
  </w:num>
  <w:num w:numId="22" w16cid:durableId="770053878">
    <w:abstractNumId w:val="10"/>
  </w:num>
  <w:num w:numId="23" w16cid:durableId="100105039">
    <w:abstractNumId w:val="15"/>
  </w:num>
  <w:num w:numId="24" w16cid:durableId="1660383951">
    <w:abstractNumId w:val="21"/>
  </w:num>
  <w:num w:numId="25" w16cid:durableId="976760600">
    <w:abstractNumId w:val="9"/>
  </w:num>
  <w:num w:numId="26" w16cid:durableId="1573925285">
    <w:abstractNumId w:val="18"/>
  </w:num>
  <w:num w:numId="27" w16cid:durableId="4510287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9D8"/>
    <w:rsid w:val="00001CD2"/>
    <w:rsid w:val="00004442"/>
    <w:rsid w:val="00006617"/>
    <w:rsid w:val="00012988"/>
    <w:rsid w:val="00056CC7"/>
    <w:rsid w:val="000662D6"/>
    <w:rsid w:val="00093786"/>
    <w:rsid w:val="0009554A"/>
    <w:rsid w:val="000E03D8"/>
    <w:rsid w:val="000F14FB"/>
    <w:rsid w:val="00107AFB"/>
    <w:rsid w:val="001106EB"/>
    <w:rsid w:val="00114FFA"/>
    <w:rsid w:val="001169E5"/>
    <w:rsid w:val="00127190"/>
    <w:rsid w:val="00135189"/>
    <w:rsid w:val="00152197"/>
    <w:rsid w:val="00152DF2"/>
    <w:rsid w:val="00172CB5"/>
    <w:rsid w:val="0017389B"/>
    <w:rsid w:val="00191F72"/>
    <w:rsid w:val="00197C55"/>
    <w:rsid w:val="001A70F7"/>
    <w:rsid w:val="001B14D6"/>
    <w:rsid w:val="001D0395"/>
    <w:rsid w:val="001E6B40"/>
    <w:rsid w:val="002401E4"/>
    <w:rsid w:val="00262A0B"/>
    <w:rsid w:val="00265F85"/>
    <w:rsid w:val="00266F57"/>
    <w:rsid w:val="002D142E"/>
    <w:rsid w:val="002D7193"/>
    <w:rsid w:val="002E20AC"/>
    <w:rsid w:val="002E6379"/>
    <w:rsid w:val="00326BAD"/>
    <w:rsid w:val="0033488E"/>
    <w:rsid w:val="0035477A"/>
    <w:rsid w:val="00354B59"/>
    <w:rsid w:val="00362A55"/>
    <w:rsid w:val="00365830"/>
    <w:rsid w:val="00372951"/>
    <w:rsid w:val="0037780E"/>
    <w:rsid w:val="0038062C"/>
    <w:rsid w:val="00384DB8"/>
    <w:rsid w:val="00387287"/>
    <w:rsid w:val="00394DC9"/>
    <w:rsid w:val="003979DC"/>
    <w:rsid w:val="003A72E7"/>
    <w:rsid w:val="003E718E"/>
    <w:rsid w:val="0040028B"/>
    <w:rsid w:val="004150C3"/>
    <w:rsid w:val="00446E45"/>
    <w:rsid w:val="00447DDB"/>
    <w:rsid w:val="00482E13"/>
    <w:rsid w:val="00483C23"/>
    <w:rsid w:val="004932DD"/>
    <w:rsid w:val="004A3A19"/>
    <w:rsid w:val="004B2060"/>
    <w:rsid w:val="004B55A5"/>
    <w:rsid w:val="004B5F9F"/>
    <w:rsid w:val="004B7772"/>
    <w:rsid w:val="004C211C"/>
    <w:rsid w:val="004C7210"/>
    <w:rsid w:val="004D4B5F"/>
    <w:rsid w:val="004E46A4"/>
    <w:rsid w:val="004F6D23"/>
    <w:rsid w:val="005151E9"/>
    <w:rsid w:val="005667BC"/>
    <w:rsid w:val="005818B5"/>
    <w:rsid w:val="00596D74"/>
    <w:rsid w:val="005A248A"/>
    <w:rsid w:val="005C2752"/>
    <w:rsid w:val="005C3268"/>
    <w:rsid w:val="005D2E7B"/>
    <w:rsid w:val="005E1779"/>
    <w:rsid w:val="005E49B9"/>
    <w:rsid w:val="005F1B2E"/>
    <w:rsid w:val="00600117"/>
    <w:rsid w:val="00625B53"/>
    <w:rsid w:val="0064023A"/>
    <w:rsid w:val="00642651"/>
    <w:rsid w:val="006576A1"/>
    <w:rsid w:val="0067446F"/>
    <w:rsid w:val="00681668"/>
    <w:rsid w:val="006822DF"/>
    <w:rsid w:val="00686065"/>
    <w:rsid w:val="00686355"/>
    <w:rsid w:val="006C5340"/>
    <w:rsid w:val="006E590C"/>
    <w:rsid w:val="006F0847"/>
    <w:rsid w:val="00707B15"/>
    <w:rsid w:val="007343ED"/>
    <w:rsid w:val="007578BE"/>
    <w:rsid w:val="00781243"/>
    <w:rsid w:val="00786025"/>
    <w:rsid w:val="00796A0D"/>
    <w:rsid w:val="007A64BA"/>
    <w:rsid w:val="007C5768"/>
    <w:rsid w:val="007E0A0F"/>
    <w:rsid w:val="00804478"/>
    <w:rsid w:val="00805643"/>
    <w:rsid w:val="00811D3D"/>
    <w:rsid w:val="00814143"/>
    <w:rsid w:val="0082095F"/>
    <w:rsid w:val="00835CB6"/>
    <w:rsid w:val="008643CA"/>
    <w:rsid w:val="008907A3"/>
    <w:rsid w:val="008A6316"/>
    <w:rsid w:val="008B2032"/>
    <w:rsid w:val="008B49BE"/>
    <w:rsid w:val="008E61AE"/>
    <w:rsid w:val="008F56CE"/>
    <w:rsid w:val="00927524"/>
    <w:rsid w:val="0094641F"/>
    <w:rsid w:val="009637DF"/>
    <w:rsid w:val="00965D9D"/>
    <w:rsid w:val="00990FCA"/>
    <w:rsid w:val="009B0C04"/>
    <w:rsid w:val="009B613B"/>
    <w:rsid w:val="009B64CD"/>
    <w:rsid w:val="009C5B52"/>
    <w:rsid w:val="009C69C1"/>
    <w:rsid w:val="009E3575"/>
    <w:rsid w:val="009F09F2"/>
    <w:rsid w:val="009F1F06"/>
    <w:rsid w:val="00A007A3"/>
    <w:rsid w:val="00A07596"/>
    <w:rsid w:val="00A112A2"/>
    <w:rsid w:val="00A1379D"/>
    <w:rsid w:val="00A16D6F"/>
    <w:rsid w:val="00A24CCD"/>
    <w:rsid w:val="00A36A4E"/>
    <w:rsid w:val="00A62804"/>
    <w:rsid w:val="00AA0A37"/>
    <w:rsid w:val="00AC0A09"/>
    <w:rsid w:val="00AC0E68"/>
    <w:rsid w:val="00B1161F"/>
    <w:rsid w:val="00B24CE6"/>
    <w:rsid w:val="00B322BB"/>
    <w:rsid w:val="00B537D2"/>
    <w:rsid w:val="00B6310C"/>
    <w:rsid w:val="00B64D87"/>
    <w:rsid w:val="00B657B4"/>
    <w:rsid w:val="00B91F29"/>
    <w:rsid w:val="00B96B3F"/>
    <w:rsid w:val="00BA3A89"/>
    <w:rsid w:val="00BD431A"/>
    <w:rsid w:val="00BD65D1"/>
    <w:rsid w:val="00BE607E"/>
    <w:rsid w:val="00BF1B67"/>
    <w:rsid w:val="00C12724"/>
    <w:rsid w:val="00C32745"/>
    <w:rsid w:val="00C3322C"/>
    <w:rsid w:val="00C40D22"/>
    <w:rsid w:val="00C92C89"/>
    <w:rsid w:val="00CB632A"/>
    <w:rsid w:val="00CC299D"/>
    <w:rsid w:val="00CE3B20"/>
    <w:rsid w:val="00D052FE"/>
    <w:rsid w:val="00D12E3F"/>
    <w:rsid w:val="00D219D8"/>
    <w:rsid w:val="00D3030A"/>
    <w:rsid w:val="00D81D9C"/>
    <w:rsid w:val="00D83B8F"/>
    <w:rsid w:val="00D96AEF"/>
    <w:rsid w:val="00D977AE"/>
    <w:rsid w:val="00DC5794"/>
    <w:rsid w:val="00DD47F0"/>
    <w:rsid w:val="00DE5077"/>
    <w:rsid w:val="00E05524"/>
    <w:rsid w:val="00E33BAF"/>
    <w:rsid w:val="00E81491"/>
    <w:rsid w:val="00EB1C9E"/>
    <w:rsid w:val="00EE0043"/>
    <w:rsid w:val="00EE09F9"/>
    <w:rsid w:val="00EE4CD5"/>
    <w:rsid w:val="00EF6A59"/>
    <w:rsid w:val="00F00C66"/>
    <w:rsid w:val="00F13788"/>
    <w:rsid w:val="00F36090"/>
    <w:rsid w:val="00F63220"/>
    <w:rsid w:val="00F878E2"/>
    <w:rsid w:val="00F9325C"/>
    <w:rsid w:val="00F94DFD"/>
    <w:rsid w:val="00FD19DC"/>
    <w:rsid w:val="00FF5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D47DA11"/>
  <w15:docId w15:val="{B9E297C2-67E2-448C-937C-2F03D1EC8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D219D8"/>
    <w:pPr>
      <w:spacing w:after="0" w:line="240" w:lineRule="auto"/>
    </w:pPr>
    <w:rPr>
      <w:rFonts w:ascii="Arial" w:eastAsia="Times New Roman" w:hAnsi="Arial" w:cs="Times New Roman"/>
      <w:sz w:val="18"/>
      <w:szCs w:val="18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8A6316"/>
    <w:pPr>
      <w:spacing w:line="264" w:lineRule="auto"/>
      <w:ind w:left="720"/>
      <w:contextualSpacing/>
      <w:jc w:val="both"/>
    </w:pPr>
    <w:rPr>
      <w:rFonts w:eastAsiaTheme="minorHAnsi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eastAsiaTheme="minorHAnsi" w:cstheme="minorBidi"/>
      <w:b/>
      <w:bCs/>
      <w:color w:val="853217" w:themeColor="accent1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eastAsiaTheme="minorHAnsi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eastAsiaTheme="minorHAnsi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styleId="Corpsdetexte2">
    <w:name w:val="Body Text 2"/>
    <w:basedOn w:val="Normal"/>
    <w:link w:val="Corpsdetexte2Car"/>
    <w:semiHidden/>
    <w:rsid w:val="00D219D8"/>
    <w:pPr>
      <w:jc w:val="both"/>
    </w:pPr>
    <w:rPr>
      <w:i/>
      <w:iCs/>
      <w:sz w:val="20"/>
    </w:rPr>
  </w:style>
  <w:style w:type="character" w:customStyle="1" w:styleId="Corpsdetexte2Car">
    <w:name w:val="Corps de texte 2 Car"/>
    <w:basedOn w:val="Policepardfaut"/>
    <w:link w:val="Corpsdetexte2"/>
    <w:semiHidden/>
    <w:rsid w:val="00D219D8"/>
    <w:rPr>
      <w:rFonts w:ascii="Arial" w:eastAsia="Times New Roman" w:hAnsi="Arial" w:cs="Times New Roman"/>
      <w:i/>
      <w:iCs/>
      <w:sz w:val="20"/>
      <w:szCs w:val="18"/>
      <w:lang w:eastAsia="fr-FR"/>
    </w:rPr>
  </w:style>
  <w:style w:type="paragraph" w:styleId="Corpsdetexte">
    <w:name w:val="Body Text"/>
    <w:basedOn w:val="Normal"/>
    <w:link w:val="CorpsdetexteCar"/>
    <w:semiHidden/>
    <w:rsid w:val="00D219D8"/>
    <w:pPr>
      <w:jc w:val="both"/>
    </w:pPr>
    <w:rPr>
      <w:rFonts w:ascii="Century Gothic" w:hAnsi="Century Gothic"/>
      <w:sz w:val="20"/>
    </w:rPr>
  </w:style>
  <w:style w:type="character" w:customStyle="1" w:styleId="CorpsdetexteCar">
    <w:name w:val="Corps de texte Car"/>
    <w:basedOn w:val="Policepardfaut"/>
    <w:link w:val="Corpsdetexte"/>
    <w:semiHidden/>
    <w:rsid w:val="00D219D8"/>
    <w:rPr>
      <w:rFonts w:ascii="Century Gothic" w:eastAsia="Times New Roman" w:hAnsi="Century Gothic" w:cs="Times New Roman"/>
      <w:sz w:val="20"/>
      <w:szCs w:val="18"/>
      <w:lang w:eastAsia="fr-FR"/>
    </w:rPr>
  </w:style>
  <w:style w:type="paragraph" w:styleId="Retraitcorpsdetexte2">
    <w:name w:val="Body Text Indent 2"/>
    <w:basedOn w:val="Normal"/>
    <w:link w:val="Retraitcorpsdetexte2Car"/>
    <w:uiPriority w:val="99"/>
    <w:unhideWhenUsed/>
    <w:rsid w:val="002D142E"/>
    <w:pPr>
      <w:spacing w:after="120" w:line="480" w:lineRule="auto"/>
      <w:ind w:left="283"/>
    </w:pPr>
    <w:rPr>
      <w:rFonts w:ascii="Times New Roman" w:hAnsi="Times New Roman"/>
      <w:sz w:val="20"/>
      <w:szCs w:val="20"/>
    </w:rPr>
  </w:style>
  <w:style w:type="character" w:customStyle="1" w:styleId="Retraitcorpsdetexte2Car">
    <w:name w:val="Retrait corps de texte 2 Car"/>
    <w:basedOn w:val="Policepardfaut"/>
    <w:link w:val="Retraitcorpsdetexte2"/>
    <w:uiPriority w:val="99"/>
    <w:rsid w:val="002D142E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customStyle="1" w:styleId="VuConsidrant">
    <w:name w:val="Vu.Considérant"/>
    <w:basedOn w:val="Normal"/>
    <w:rsid w:val="002D142E"/>
    <w:pPr>
      <w:autoSpaceDE w:val="0"/>
      <w:autoSpaceDN w:val="0"/>
      <w:spacing w:after="140"/>
      <w:jc w:val="both"/>
    </w:pPr>
    <w:rPr>
      <w:rFonts w:cs="Arial"/>
      <w:sz w:val="20"/>
      <w:szCs w:val="20"/>
    </w:rPr>
  </w:style>
  <w:style w:type="character" w:styleId="Mentionnonrsolue">
    <w:name w:val="Unresolved Mention"/>
    <w:basedOn w:val="Policepardfaut"/>
    <w:uiPriority w:val="99"/>
    <w:semiHidden/>
    <w:unhideWhenUsed/>
    <w:rsid w:val="00E33BAF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E33BAF"/>
    <w:rPr>
      <w:color w:val="FFFF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33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elerecours.f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5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8.jpeg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6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498</Words>
  <Characters>2739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Stéphanie PREYS</dc:creator>
  <cp:lastModifiedBy>Rebecca Robert</cp:lastModifiedBy>
  <cp:revision>19</cp:revision>
  <dcterms:created xsi:type="dcterms:W3CDTF">2025-03-06T14:23:00Z</dcterms:created>
  <dcterms:modified xsi:type="dcterms:W3CDTF">2025-03-11T10:01:00Z</dcterms:modified>
</cp:coreProperties>
</file>